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1DF23C" w14:textId="13FF2279" w:rsidR="00E90E49" w:rsidRPr="006D495F" w:rsidRDefault="00E90E49" w:rsidP="00872BF6">
      <w:pPr>
        <w:pStyle w:val="3GPPHeader"/>
        <w:spacing w:after="0"/>
        <w:jc w:val="both"/>
        <w:rPr>
          <w:sz w:val="32"/>
          <w:szCs w:val="32"/>
          <w:highlight w:val="yellow"/>
          <w:lang w:val="en-GB"/>
        </w:rPr>
      </w:pPr>
      <w:r w:rsidRPr="006D495F">
        <w:rPr>
          <w:lang w:val="en-GB"/>
        </w:rPr>
        <w:t>3GPP TSG-RAN WG</w:t>
      </w:r>
      <w:r w:rsidR="008F1C4E" w:rsidRPr="006D495F">
        <w:rPr>
          <w:lang w:val="en-GB"/>
        </w:rPr>
        <w:t>1</w:t>
      </w:r>
      <w:r w:rsidRPr="006D495F">
        <w:rPr>
          <w:lang w:val="en-GB"/>
        </w:rPr>
        <w:t xml:space="preserve"> </w:t>
      </w:r>
      <w:r w:rsidR="008F1C4E" w:rsidRPr="006D495F">
        <w:rPr>
          <w:lang w:val="en-GB"/>
        </w:rPr>
        <w:t xml:space="preserve">Meeting </w:t>
      </w:r>
      <w:r w:rsidRPr="006D495F">
        <w:rPr>
          <w:lang w:val="en-GB"/>
        </w:rPr>
        <w:t>#</w:t>
      </w:r>
      <w:r w:rsidR="003755A8" w:rsidRPr="006D495F">
        <w:rPr>
          <w:lang w:val="en-GB"/>
        </w:rPr>
        <w:t>10</w:t>
      </w:r>
      <w:r w:rsidR="00C758E5">
        <w:rPr>
          <w:lang w:val="en-GB"/>
        </w:rPr>
        <w:t>5</w:t>
      </w:r>
      <w:r w:rsidR="0035355E" w:rsidRPr="006D495F">
        <w:rPr>
          <w:lang w:val="en-GB"/>
        </w:rPr>
        <w:t>-e</w:t>
      </w:r>
      <w:r w:rsidRPr="006D495F">
        <w:rPr>
          <w:lang w:val="en-GB"/>
        </w:rPr>
        <w:tab/>
      </w:r>
      <w:r w:rsidR="006D27C7" w:rsidRPr="006D27C7">
        <w:rPr>
          <w:sz w:val="32"/>
          <w:szCs w:val="32"/>
          <w:lang w:val="en-GB"/>
        </w:rPr>
        <w:t>R1-21</w:t>
      </w:r>
      <w:r w:rsidR="00212CE3">
        <w:rPr>
          <w:sz w:val="32"/>
          <w:szCs w:val="32"/>
          <w:lang w:val="en-GB"/>
        </w:rPr>
        <w:t>05852</w:t>
      </w:r>
    </w:p>
    <w:p w14:paraId="23AAF154" w14:textId="3D848CBE" w:rsidR="0035355E" w:rsidRPr="006D495F" w:rsidRDefault="009E69F0" w:rsidP="00872BF6">
      <w:pPr>
        <w:pStyle w:val="3GPPHeader"/>
        <w:jc w:val="both"/>
        <w:rPr>
          <w:lang w:val="en-GB"/>
        </w:rPr>
      </w:pPr>
      <w:r>
        <w:rPr>
          <w:lang w:val="en-GB"/>
        </w:rPr>
        <w:t>Online</w:t>
      </w:r>
      <w:r w:rsidR="0035355E" w:rsidRPr="006D495F">
        <w:rPr>
          <w:lang w:val="en-GB"/>
        </w:rPr>
        <w:t xml:space="preserve">, </w:t>
      </w:r>
      <w:r w:rsidR="00685470">
        <w:rPr>
          <w:lang w:val="en-GB"/>
        </w:rPr>
        <w:t>May</w:t>
      </w:r>
      <w:r w:rsidR="0035355E" w:rsidRPr="006D495F">
        <w:rPr>
          <w:lang w:val="en-GB"/>
        </w:rPr>
        <w:t xml:space="preserve"> </w:t>
      </w:r>
      <w:r w:rsidR="00763CE3">
        <w:rPr>
          <w:lang w:val="en-GB"/>
        </w:rPr>
        <w:t>10</w:t>
      </w:r>
      <w:r w:rsidR="0035355E" w:rsidRPr="006D495F">
        <w:rPr>
          <w:vertAlign w:val="superscript"/>
          <w:lang w:val="en-GB"/>
        </w:rPr>
        <w:t>th</w:t>
      </w:r>
      <w:r w:rsidR="0035355E" w:rsidRPr="006D495F">
        <w:rPr>
          <w:lang w:val="en-GB"/>
        </w:rPr>
        <w:t xml:space="preserve"> – </w:t>
      </w:r>
      <w:r w:rsidR="00685470">
        <w:rPr>
          <w:lang w:val="en-GB"/>
        </w:rPr>
        <w:t>May</w:t>
      </w:r>
      <w:r w:rsidR="0035355E" w:rsidRPr="006D495F">
        <w:rPr>
          <w:lang w:val="en-GB"/>
        </w:rPr>
        <w:t xml:space="preserve"> </w:t>
      </w:r>
      <w:r w:rsidR="006F0E2B">
        <w:rPr>
          <w:lang w:val="en-GB"/>
        </w:rPr>
        <w:t>2</w:t>
      </w:r>
      <w:r w:rsidR="00763CE3">
        <w:rPr>
          <w:lang w:val="en-GB"/>
        </w:rPr>
        <w:t>7</w:t>
      </w:r>
      <w:r w:rsidR="0035355E" w:rsidRPr="006D495F">
        <w:rPr>
          <w:vertAlign w:val="superscript"/>
          <w:lang w:val="en-GB"/>
        </w:rPr>
        <w:t>th</w:t>
      </w:r>
      <w:r w:rsidR="0035355E" w:rsidRPr="006D495F">
        <w:rPr>
          <w:lang w:val="en-GB"/>
        </w:rPr>
        <w:t>, 2021</w:t>
      </w:r>
    </w:p>
    <w:p w14:paraId="098C3E18" w14:textId="77777777" w:rsidR="00E90E49" w:rsidRPr="006D495F" w:rsidRDefault="00E90E49" w:rsidP="00872BF6">
      <w:pPr>
        <w:pStyle w:val="3GPPHeader"/>
        <w:jc w:val="both"/>
        <w:rPr>
          <w:lang w:val="en-GB"/>
        </w:rPr>
      </w:pPr>
    </w:p>
    <w:p w14:paraId="6436CE39" w14:textId="3465EFD9" w:rsidR="00E90E49" w:rsidRPr="006D495F" w:rsidRDefault="00E90E49" w:rsidP="00872BF6">
      <w:pPr>
        <w:pStyle w:val="3GPPHeader"/>
        <w:jc w:val="both"/>
        <w:rPr>
          <w:lang w:val="en-GB"/>
        </w:rPr>
      </w:pPr>
      <w:r w:rsidRPr="006D495F">
        <w:rPr>
          <w:lang w:val="en-GB"/>
        </w:rPr>
        <w:t>Agenda Item:</w:t>
      </w:r>
      <w:r w:rsidRPr="006D495F">
        <w:rPr>
          <w:lang w:val="en-GB"/>
        </w:rPr>
        <w:tab/>
      </w:r>
      <w:r w:rsidR="0035355E" w:rsidRPr="006D495F">
        <w:rPr>
          <w:lang w:val="en-GB"/>
        </w:rPr>
        <w:t>8.10.1</w:t>
      </w:r>
    </w:p>
    <w:p w14:paraId="259240B1" w14:textId="77777777" w:rsidR="00E90E49" w:rsidRPr="006D495F" w:rsidRDefault="003D3C45" w:rsidP="00872BF6">
      <w:pPr>
        <w:pStyle w:val="3GPPHeader"/>
        <w:jc w:val="both"/>
        <w:rPr>
          <w:lang w:val="en-GB"/>
        </w:rPr>
      </w:pPr>
      <w:r w:rsidRPr="006D495F">
        <w:rPr>
          <w:lang w:val="en-GB"/>
        </w:rPr>
        <w:t>Source:</w:t>
      </w:r>
      <w:r w:rsidR="00E90E49" w:rsidRPr="006D495F">
        <w:rPr>
          <w:lang w:val="en-GB"/>
        </w:rPr>
        <w:tab/>
      </w:r>
      <w:r w:rsidR="00F64C2B" w:rsidRPr="006D495F">
        <w:rPr>
          <w:lang w:val="en-GB"/>
        </w:rPr>
        <w:t>Ericsson</w:t>
      </w:r>
    </w:p>
    <w:p w14:paraId="76C893EC" w14:textId="15CA5B14" w:rsidR="00E90E49" w:rsidRPr="006D495F" w:rsidRDefault="003D3C45" w:rsidP="00872BF6">
      <w:pPr>
        <w:pStyle w:val="3GPPHeader"/>
        <w:jc w:val="both"/>
        <w:rPr>
          <w:lang w:val="en-GB"/>
        </w:rPr>
      </w:pPr>
      <w:r w:rsidRPr="006D495F">
        <w:rPr>
          <w:lang w:val="en-GB"/>
        </w:rPr>
        <w:t>Title:</w:t>
      </w:r>
      <w:r w:rsidR="00E90E49" w:rsidRPr="006D495F">
        <w:rPr>
          <w:lang w:val="en-GB"/>
        </w:rPr>
        <w:tab/>
      </w:r>
      <w:r w:rsidR="0035355E" w:rsidRPr="006D495F">
        <w:rPr>
          <w:lang w:val="en-GB"/>
        </w:rPr>
        <w:t>Resource multiplexing and DC in enhanced IAB</w:t>
      </w:r>
    </w:p>
    <w:p w14:paraId="2F9B710A" w14:textId="7E03DF9F" w:rsidR="00E90E49" w:rsidRPr="00872BF6" w:rsidRDefault="00E90E49" w:rsidP="00872BF6">
      <w:pPr>
        <w:pStyle w:val="3GPPHeader"/>
        <w:jc w:val="both"/>
        <w:rPr>
          <w:lang w:val="en-GB"/>
        </w:rPr>
      </w:pPr>
      <w:r w:rsidRPr="00872BF6">
        <w:rPr>
          <w:lang w:val="en-GB"/>
        </w:rPr>
        <w:t>Document for:</w:t>
      </w:r>
      <w:r w:rsidRPr="00872BF6">
        <w:rPr>
          <w:lang w:val="en-GB"/>
        </w:rPr>
        <w:tab/>
        <w:t>Discussion, Decision</w:t>
      </w:r>
    </w:p>
    <w:p w14:paraId="794C4B1F" w14:textId="77777777" w:rsidR="00E90E49" w:rsidRPr="00C75E69" w:rsidRDefault="00E90E49" w:rsidP="00872BF6">
      <w:pPr>
        <w:pStyle w:val="Heading1"/>
        <w:jc w:val="both"/>
      </w:pPr>
      <w:r w:rsidRPr="00C75E69">
        <w:t>Introduction</w:t>
      </w:r>
    </w:p>
    <w:p w14:paraId="05CB32E1" w14:textId="3CA6682A" w:rsidR="0035355E" w:rsidRPr="006D495F" w:rsidRDefault="0035355E" w:rsidP="00872BF6">
      <w:pPr>
        <w:pStyle w:val="BodyText"/>
        <w:jc w:val="both"/>
        <w:rPr>
          <w:rFonts w:ascii="Arial" w:hAnsi="Arial" w:cs="Arial"/>
          <w:sz w:val="20"/>
          <w:szCs w:val="20"/>
          <w:lang w:val="en-GB"/>
        </w:rPr>
      </w:pPr>
      <w:r w:rsidRPr="006D495F">
        <w:rPr>
          <w:rFonts w:ascii="Arial" w:hAnsi="Arial" w:cs="Arial"/>
          <w:sz w:val="20"/>
          <w:szCs w:val="20"/>
          <w:lang w:val="en-GB"/>
        </w:rPr>
        <w:t>In RAN #88</w:t>
      </w:r>
      <w:r w:rsidR="00D108B4">
        <w:rPr>
          <w:rFonts w:ascii="Arial" w:hAnsi="Arial" w:cs="Arial"/>
          <w:sz w:val="20"/>
          <w:szCs w:val="20"/>
          <w:lang w:val="en-GB"/>
        </w:rPr>
        <w:t>-</w:t>
      </w:r>
      <w:r w:rsidRPr="006D495F">
        <w:rPr>
          <w:rFonts w:ascii="Arial" w:hAnsi="Arial" w:cs="Arial"/>
          <w:sz w:val="20"/>
          <w:szCs w:val="20"/>
          <w:lang w:val="en-GB"/>
        </w:rPr>
        <w:t xml:space="preserve">e, the following objectives of IAB work item regarding resource multiplexing were agreed </w:t>
      </w:r>
      <w:r w:rsidRPr="00C75E69">
        <w:rPr>
          <w:rFonts w:ascii="Arial" w:hAnsi="Arial" w:cs="Arial"/>
          <w:sz w:val="20"/>
          <w:szCs w:val="20"/>
        </w:rPr>
        <w:fldChar w:fldCharType="begin"/>
      </w:r>
      <w:r w:rsidRPr="00A93213">
        <w:rPr>
          <w:rFonts w:ascii="Arial" w:hAnsi="Arial" w:cs="Arial"/>
          <w:sz w:val="20"/>
          <w:szCs w:val="20"/>
          <w:lang w:val="en-GB"/>
        </w:rPr>
        <w:instrText xml:space="preserve"> REF _Ref534962701 \r \h  \* MERGEFORMAT </w:instrText>
      </w:r>
      <w:r w:rsidRPr="00C75E69">
        <w:rPr>
          <w:rFonts w:ascii="Arial" w:hAnsi="Arial" w:cs="Arial"/>
          <w:sz w:val="20"/>
          <w:szCs w:val="20"/>
        </w:rPr>
      </w:r>
      <w:r w:rsidRPr="00C75E69">
        <w:rPr>
          <w:rFonts w:ascii="Arial" w:hAnsi="Arial" w:cs="Arial"/>
          <w:sz w:val="20"/>
          <w:szCs w:val="20"/>
        </w:rPr>
        <w:fldChar w:fldCharType="separate"/>
      </w:r>
      <w:r w:rsidR="00301FA3">
        <w:rPr>
          <w:rFonts w:ascii="Arial" w:hAnsi="Arial" w:cs="Arial"/>
          <w:sz w:val="20"/>
          <w:szCs w:val="20"/>
          <w:lang w:val="en-GB"/>
        </w:rPr>
        <w:t>[1]</w:t>
      </w:r>
      <w:r w:rsidRPr="00C75E69">
        <w:rPr>
          <w:rFonts w:ascii="Arial" w:hAnsi="Arial" w:cs="Arial"/>
          <w:sz w:val="20"/>
          <w:szCs w:val="20"/>
        </w:rPr>
        <w:fldChar w:fldCharType="end"/>
      </w:r>
      <w:r w:rsidRPr="006D495F">
        <w:rPr>
          <w:rFonts w:ascii="Arial" w:hAnsi="Arial" w:cs="Arial"/>
          <w:sz w:val="20"/>
          <w:szCs w:val="20"/>
          <w:lang w:val="en-GB"/>
        </w:rPr>
        <w:t>:</w:t>
      </w:r>
    </w:p>
    <w:tbl>
      <w:tblPr>
        <w:tblStyle w:val="TableGrid"/>
        <w:tblW w:w="0" w:type="auto"/>
        <w:tblLook w:val="04A0" w:firstRow="1" w:lastRow="0" w:firstColumn="1" w:lastColumn="0" w:noHBand="0" w:noVBand="1"/>
      </w:tblPr>
      <w:tblGrid>
        <w:gridCol w:w="9629"/>
      </w:tblGrid>
      <w:tr w:rsidR="0035355E" w:rsidRPr="004A67F8" w14:paraId="57932EA6" w14:textId="77777777" w:rsidTr="00EE6BB3">
        <w:tc>
          <w:tcPr>
            <w:tcW w:w="9629" w:type="dxa"/>
          </w:tcPr>
          <w:p w14:paraId="5F6B89C0" w14:textId="77777777" w:rsidR="0035355E" w:rsidRPr="00C75E69" w:rsidRDefault="0035355E" w:rsidP="00E9707C">
            <w:pPr>
              <w:pStyle w:val="ListParagraph"/>
              <w:numPr>
                <w:ilvl w:val="0"/>
                <w:numId w:val="17"/>
              </w:numPr>
              <w:spacing w:before="120" w:after="180"/>
              <w:contextualSpacing/>
              <w:jc w:val="both"/>
              <w:rPr>
                <w:rFonts w:ascii="Arial" w:hAnsi="Arial" w:cs="Arial"/>
                <w:sz w:val="20"/>
                <w:szCs w:val="20"/>
                <w:lang w:val="en-GB"/>
              </w:rPr>
            </w:pPr>
            <w:r w:rsidRPr="00C75E69">
              <w:rPr>
                <w:rFonts w:ascii="Arial" w:hAnsi="Arial" w:cs="Arial"/>
                <w:sz w:val="20"/>
                <w:szCs w:val="20"/>
                <w:lang w:val="en-GB"/>
              </w:rPr>
              <w:t>Specification of enhancements to the resource multiplexing between child and parent links of an IAB node, including:</w:t>
            </w:r>
          </w:p>
          <w:p w14:paraId="3B906471" w14:textId="538A0C44" w:rsidR="0035355E" w:rsidRPr="00C75E69" w:rsidRDefault="0035355E" w:rsidP="00E9707C">
            <w:pPr>
              <w:pStyle w:val="ListParagraph"/>
              <w:numPr>
                <w:ilvl w:val="1"/>
                <w:numId w:val="17"/>
              </w:numPr>
              <w:spacing w:before="120" w:after="180"/>
              <w:contextualSpacing/>
              <w:jc w:val="both"/>
              <w:rPr>
                <w:rFonts w:ascii="Arial" w:hAnsi="Arial" w:cs="Arial"/>
                <w:sz w:val="20"/>
                <w:szCs w:val="20"/>
                <w:lang w:val="en-GB"/>
              </w:rPr>
            </w:pPr>
            <w:r w:rsidRPr="00C75E69">
              <w:rPr>
                <w:rFonts w:ascii="Arial" w:hAnsi="Arial" w:cs="Arial"/>
                <w:sz w:val="20"/>
                <w:szCs w:val="20"/>
                <w:lang w:val="en-GB"/>
              </w:rPr>
              <w:t>Support of simultaneous operation (transmission and/or reception) of IAB</w:t>
            </w:r>
            <w:r w:rsidR="00135052">
              <w:rPr>
                <w:rFonts w:ascii="Arial" w:hAnsi="Arial" w:cs="Arial"/>
                <w:sz w:val="20"/>
                <w:szCs w:val="20"/>
                <w:lang w:val="en-GB"/>
              </w:rPr>
              <w:t xml:space="preserve"> </w:t>
            </w:r>
            <w:r w:rsidRPr="00C75E69">
              <w:rPr>
                <w:rFonts w:ascii="Arial" w:hAnsi="Arial" w:cs="Arial"/>
                <w:sz w:val="20"/>
                <w:szCs w:val="20"/>
                <w:lang w:val="en-GB"/>
              </w:rPr>
              <w:t>node’s child and parent links (i.e., MT Tx/DU Tx, MT Tx/DU Rx, MT Rx/DU Tx, MT Rx/DU Rx).</w:t>
            </w:r>
          </w:p>
          <w:p w14:paraId="2D6A06CA" w14:textId="77777777" w:rsidR="0035355E" w:rsidRPr="00C75E69" w:rsidRDefault="0035355E" w:rsidP="00E9707C">
            <w:pPr>
              <w:pStyle w:val="ListParagraph"/>
              <w:numPr>
                <w:ilvl w:val="1"/>
                <w:numId w:val="17"/>
              </w:numPr>
              <w:spacing w:before="120" w:after="180"/>
              <w:contextualSpacing/>
              <w:jc w:val="both"/>
              <w:rPr>
                <w:rFonts w:ascii="Arial" w:hAnsi="Arial" w:cs="Arial"/>
                <w:sz w:val="20"/>
                <w:szCs w:val="20"/>
                <w:lang w:val="en-GB"/>
              </w:rPr>
            </w:pPr>
            <w:bookmarkStart w:id="0" w:name="_Hlk61036592"/>
            <w:r w:rsidRPr="00C75E69">
              <w:rPr>
                <w:rFonts w:ascii="Arial" w:hAnsi="Arial" w:cs="Arial"/>
                <w:sz w:val="20"/>
                <w:szCs w:val="20"/>
                <w:lang w:val="en-GB"/>
              </w:rPr>
              <w:t>Support for dual-connectivity scenarios defined by RAN2/RAN3 in the context of topology redundancy for improved robustness and load balancing.</w:t>
            </w:r>
            <w:bookmarkEnd w:id="0"/>
          </w:p>
        </w:tc>
      </w:tr>
    </w:tbl>
    <w:p w14:paraId="7EEAD0D4" w14:textId="599E21DD" w:rsidR="00477768" w:rsidRPr="000534B5" w:rsidRDefault="0035355E" w:rsidP="00872BF6">
      <w:pPr>
        <w:pStyle w:val="BodyText"/>
        <w:spacing w:before="240"/>
        <w:jc w:val="both"/>
        <w:rPr>
          <w:rFonts w:ascii="Arial" w:hAnsi="Arial" w:cs="Arial"/>
          <w:sz w:val="20"/>
          <w:szCs w:val="20"/>
          <w:lang w:val="en-GB"/>
        </w:rPr>
      </w:pPr>
      <w:r w:rsidRPr="000534B5">
        <w:rPr>
          <w:rFonts w:ascii="Arial" w:hAnsi="Arial" w:cs="Arial"/>
          <w:sz w:val="20"/>
          <w:szCs w:val="20"/>
          <w:lang w:val="en-GB"/>
        </w:rPr>
        <w:t xml:space="preserve">In this contribution, we present our views on the potential enhancements to IAB-DU and IAB-MT multiplexing configurations, regarding simultaneous operations and the dual-parent scenarios. </w:t>
      </w:r>
      <w:r w:rsidR="008E4104" w:rsidRPr="0035355E">
        <w:rPr>
          <w:rFonts w:ascii="Arial" w:hAnsi="Arial" w:cs="Arial"/>
          <w:sz w:val="20"/>
          <w:szCs w:val="20"/>
          <w:lang w:val="en-GB"/>
        </w:rPr>
        <w:t xml:space="preserve">Please see </w:t>
      </w:r>
      <w:r w:rsidR="008E4104">
        <w:rPr>
          <w:rFonts w:ascii="Arial" w:hAnsi="Arial" w:cs="Arial"/>
          <w:sz w:val="20"/>
          <w:szCs w:val="20"/>
        </w:rPr>
        <w:fldChar w:fldCharType="begin"/>
      </w:r>
      <w:r w:rsidR="008E4104">
        <w:rPr>
          <w:rFonts w:ascii="Arial" w:hAnsi="Arial" w:cs="Arial"/>
          <w:sz w:val="20"/>
          <w:szCs w:val="20"/>
          <w:lang w:val="en-GB"/>
        </w:rPr>
        <w:instrText xml:space="preserve"> REF _Ref70113715 \r \h </w:instrText>
      </w:r>
      <w:r w:rsidR="006740AE" w:rsidRPr="00E25D4B">
        <w:rPr>
          <w:rFonts w:ascii="Arial" w:hAnsi="Arial" w:cs="Arial"/>
          <w:sz w:val="20"/>
          <w:szCs w:val="20"/>
          <w:lang w:val="en-GB"/>
        </w:rPr>
        <w:instrText xml:space="preserve"> \* MERGEFORMAT </w:instrText>
      </w:r>
      <w:r w:rsidR="008E4104">
        <w:rPr>
          <w:rFonts w:ascii="Arial" w:hAnsi="Arial" w:cs="Arial"/>
          <w:sz w:val="20"/>
          <w:szCs w:val="20"/>
        </w:rPr>
      </w:r>
      <w:r w:rsidR="008E4104">
        <w:rPr>
          <w:rFonts w:ascii="Arial" w:hAnsi="Arial" w:cs="Arial"/>
          <w:sz w:val="20"/>
          <w:szCs w:val="20"/>
        </w:rPr>
        <w:fldChar w:fldCharType="separate"/>
      </w:r>
      <w:r w:rsidR="00301FA3">
        <w:rPr>
          <w:rFonts w:ascii="Arial" w:hAnsi="Arial" w:cs="Arial"/>
          <w:sz w:val="20"/>
          <w:szCs w:val="20"/>
          <w:lang w:val="en-GB"/>
        </w:rPr>
        <w:t>[2]</w:t>
      </w:r>
      <w:r w:rsidR="008E4104">
        <w:rPr>
          <w:rFonts w:ascii="Arial" w:hAnsi="Arial" w:cs="Arial"/>
          <w:sz w:val="20"/>
          <w:szCs w:val="20"/>
        </w:rPr>
        <w:fldChar w:fldCharType="end"/>
      </w:r>
      <w:r w:rsidR="008E4104" w:rsidRPr="0035355E">
        <w:rPr>
          <w:rFonts w:ascii="Arial" w:hAnsi="Arial" w:cs="Arial"/>
          <w:sz w:val="20"/>
          <w:szCs w:val="20"/>
          <w:lang w:val="en-GB"/>
        </w:rPr>
        <w:t xml:space="preserve"> for our accompanying contribution discussing timing, interference and power control for the agreed simultaneous operation cases.</w:t>
      </w:r>
      <w:r w:rsidR="00D52777">
        <w:rPr>
          <w:rFonts w:ascii="Arial" w:hAnsi="Arial" w:cs="Arial"/>
          <w:sz w:val="20"/>
          <w:szCs w:val="20"/>
          <w:lang w:val="en-GB"/>
        </w:rPr>
        <w:t xml:space="preserve"> Furthermore, in </w:t>
      </w:r>
      <w:r w:rsidR="00957AB8">
        <w:rPr>
          <w:rFonts w:ascii="Arial" w:hAnsi="Arial" w:cs="Arial"/>
          <w:sz w:val="20"/>
          <w:szCs w:val="20"/>
          <w:lang w:val="en-GB"/>
        </w:rPr>
        <w:fldChar w:fldCharType="begin"/>
      </w:r>
      <w:r w:rsidR="00957AB8">
        <w:rPr>
          <w:rFonts w:ascii="Arial" w:hAnsi="Arial" w:cs="Arial"/>
          <w:sz w:val="20"/>
          <w:szCs w:val="20"/>
          <w:lang w:val="en-GB"/>
        </w:rPr>
        <w:instrText xml:space="preserve"> REF _Ref71616395 \r \h </w:instrText>
      </w:r>
      <w:r w:rsidR="00957AB8">
        <w:rPr>
          <w:rFonts w:ascii="Arial" w:hAnsi="Arial" w:cs="Arial"/>
          <w:sz w:val="20"/>
          <w:szCs w:val="20"/>
          <w:lang w:val="en-GB"/>
        </w:rPr>
      </w:r>
      <w:r w:rsidR="00957AB8">
        <w:rPr>
          <w:rFonts w:ascii="Arial" w:hAnsi="Arial" w:cs="Arial"/>
          <w:sz w:val="20"/>
          <w:szCs w:val="20"/>
          <w:lang w:val="en-GB"/>
        </w:rPr>
        <w:fldChar w:fldCharType="separate"/>
      </w:r>
      <w:r w:rsidR="00301FA3">
        <w:rPr>
          <w:rFonts w:ascii="Arial" w:hAnsi="Arial" w:cs="Arial"/>
          <w:sz w:val="20"/>
          <w:szCs w:val="20"/>
          <w:lang w:val="en-GB"/>
        </w:rPr>
        <w:t>[3]</w:t>
      </w:r>
      <w:r w:rsidR="00957AB8">
        <w:rPr>
          <w:rFonts w:ascii="Arial" w:hAnsi="Arial" w:cs="Arial"/>
          <w:sz w:val="20"/>
          <w:szCs w:val="20"/>
          <w:lang w:val="en-GB"/>
        </w:rPr>
        <w:fldChar w:fldCharType="end"/>
      </w:r>
      <w:r w:rsidR="00D52777">
        <w:rPr>
          <w:rFonts w:ascii="Arial" w:hAnsi="Arial" w:cs="Arial"/>
          <w:sz w:val="20"/>
          <w:szCs w:val="20"/>
          <w:lang w:val="en-GB"/>
        </w:rPr>
        <w:t xml:space="preserve">, we provide a </w:t>
      </w:r>
      <w:r w:rsidR="00D52777" w:rsidRPr="00D52777">
        <w:rPr>
          <w:rFonts w:ascii="Arial" w:hAnsi="Arial" w:cs="Arial"/>
          <w:sz w:val="20"/>
          <w:szCs w:val="20"/>
          <w:lang w:val="en-GB"/>
        </w:rPr>
        <w:t xml:space="preserve">contribution </w:t>
      </w:r>
      <w:r w:rsidR="00D52777">
        <w:rPr>
          <w:rFonts w:ascii="Arial" w:hAnsi="Arial" w:cs="Arial"/>
          <w:sz w:val="20"/>
          <w:szCs w:val="20"/>
          <w:lang w:val="en-GB"/>
        </w:rPr>
        <w:t xml:space="preserve">about the </w:t>
      </w:r>
      <w:r w:rsidR="00D52777" w:rsidRPr="00D52777">
        <w:rPr>
          <w:rFonts w:ascii="Arial" w:hAnsi="Arial" w:cs="Arial"/>
          <w:sz w:val="20"/>
          <w:szCs w:val="20"/>
          <w:lang w:val="en-GB"/>
        </w:rPr>
        <w:t>limitation</w:t>
      </w:r>
      <w:r w:rsidR="00D52777">
        <w:rPr>
          <w:rFonts w:ascii="Arial" w:hAnsi="Arial" w:cs="Arial"/>
          <w:sz w:val="20"/>
          <w:szCs w:val="20"/>
          <w:lang w:val="en-GB"/>
        </w:rPr>
        <w:t>s</w:t>
      </w:r>
      <w:r w:rsidR="00D52777" w:rsidRPr="00D52777">
        <w:rPr>
          <w:rFonts w:ascii="Arial" w:hAnsi="Arial" w:cs="Arial"/>
          <w:sz w:val="20"/>
          <w:szCs w:val="20"/>
          <w:lang w:val="en-GB"/>
        </w:rPr>
        <w:t xml:space="preserve"> of the DCI Format 2_5 payload size which does not allow to configure the maximum number (512) of IAB-DU cells.</w:t>
      </w:r>
    </w:p>
    <w:p w14:paraId="72F757C6" w14:textId="67DC3E6A" w:rsidR="0050259B" w:rsidRPr="00C75E69" w:rsidRDefault="0050259B" w:rsidP="00872BF6">
      <w:pPr>
        <w:pStyle w:val="Heading1"/>
        <w:jc w:val="both"/>
      </w:pPr>
      <w:r w:rsidRPr="00C75E69">
        <w:t>Resource multiplexing</w:t>
      </w:r>
    </w:p>
    <w:p w14:paraId="52A949E6" w14:textId="735DF0FF" w:rsidR="00F63950" w:rsidRPr="00833DD5" w:rsidRDefault="0050259B" w:rsidP="00872BF6">
      <w:pPr>
        <w:pStyle w:val="Heading2"/>
        <w:jc w:val="both"/>
      </w:pPr>
      <w:r w:rsidRPr="00833DD5">
        <w:t>FDM-based simultaneous operation</w:t>
      </w:r>
    </w:p>
    <w:p w14:paraId="27D0ED86" w14:textId="29C81B0E" w:rsidR="008C4E24" w:rsidRPr="007F6F5F" w:rsidRDefault="00371904" w:rsidP="00872BF6">
      <w:pPr>
        <w:jc w:val="both"/>
        <w:rPr>
          <w:rFonts w:ascii="Arial" w:hAnsi="Arial" w:cs="Arial"/>
          <w:sz w:val="20"/>
          <w:szCs w:val="20"/>
          <w:lang w:val="en-GB" w:eastAsia="ja-JP"/>
        </w:rPr>
      </w:pPr>
      <w:r w:rsidRPr="00877A84">
        <w:rPr>
          <w:rFonts w:ascii="Arial" w:hAnsi="Arial" w:cs="Arial"/>
          <w:sz w:val="20"/>
          <w:szCs w:val="20"/>
          <w:lang w:val="en-GB" w:eastAsia="ja-JP"/>
        </w:rPr>
        <w:t xml:space="preserve">Frequency domain multiplexing of IAB-DU and IAB-MT is </w:t>
      </w:r>
      <w:r w:rsidR="005D64B9" w:rsidRPr="00877A84">
        <w:rPr>
          <w:rFonts w:ascii="Arial" w:hAnsi="Arial" w:cs="Arial"/>
          <w:sz w:val="20"/>
          <w:szCs w:val="20"/>
          <w:lang w:val="en-GB" w:eastAsia="ja-JP"/>
        </w:rPr>
        <w:t xml:space="preserve">an </w:t>
      </w:r>
      <w:r w:rsidRPr="00877A84">
        <w:rPr>
          <w:rFonts w:ascii="Arial" w:hAnsi="Arial" w:cs="Arial"/>
          <w:sz w:val="20"/>
          <w:szCs w:val="20"/>
          <w:lang w:val="en-GB" w:eastAsia="ja-JP"/>
        </w:rPr>
        <w:t xml:space="preserve">advantageous simultaneous operation </w:t>
      </w:r>
      <w:r w:rsidR="00C21D36" w:rsidRPr="00877A84">
        <w:rPr>
          <w:rFonts w:ascii="Arial" w:hAnsi="Arial" w:cs="Arial"/>
          <w:sz w:val="20"/>
          <w:szCs w:val="20"/>
          <w:lang w:val="en-GB" w:eastAsia="ja-JP"/>
        </w:rPr>
        <w:t xml:space="preserve">which can </w:t>
      </w:r>
      <w:r w:rsidRPr="00877A84">
        <w:rPr>
          <w:rFonts w:ascii="Arial" w:hAnsi="Arial" w:cs="Arial"/>
          <w:sz w:val="20"/>
          <w:szCs w:val="20"/>
          <w:lang w:val="en-GB" w:eastAsia="ja-JP"/>
        </w:rPr>
        <w:t>provide greater</w:t>
      </w:r>
      <w:r w:rsidR="00C21D36" w:rsidRPr="00877A84">
        <w:rPr>
          <w:rFonts w:ascii="Arial" w:hAnsi="Arial" w:cs="Arial"/>
          <w:sz w:val="20"/>
          <w:szCs w:val="20"/>
          <w:lang w:val="en-GB" w:eastAsia="ja-JP"/>
        </w:rPr>
        <w:t xml:space="preserve"> network</w:t>
      </w:r>
      <w:r w:rsidRPr="00877A84">
        <w:rPr>
          <w:rFonts w:ascii="Arial" w:hAnsi="Arial" w:cs="Arial"/>
          <w:sz w:val="20"/>
          <w:szCs w:val="20"/>
          <w:lang w:val="en-GB" w:eastAsia="ja-JP"/>
        </w:rPr>
        <w:t xml:space="preserve"> flexibility, reduced </w:t>
      </w:r>
      <w:r w:rsidR="00C21D36" w:rsidRPr="00877A84">
        <w:rPr>
          <w:rFonts w:ascii="Arial" w:hAnsi="Arial" w:cs="Arial"/>
          <w:sz w:val="20"/>
          <w:szCs w:val="20"/>
          <w:lang w:val="en-GB" w:eastAsia="ja-JP"/>
        </w:rPr>
        <w:t xml:space="preserve">latency and enhanced </w:t>
      </w:r>
      <w:r w:rsidRPr="00877A84">
        <w:rPr>
          <w:rFonts w:ascii="Arial" w:hAnsi="Arial" w:cs="Arial"/>
          <w:sz w:val="20"/>
          <w:szCs w:val="20"/>
          <w:lang w:val="en-GB" w:eastAsia="ja-JP"/>
        </w:rPr>
        <w:t>CLI</w:t>
      </w:r>
      <w:r w:rsidR="00C21D36" w:rsidRPr="00877A84">
        <w:rPr>
          <w:rFonts w:ascii="Arial" w:hAnsi="Arial" w:cs="Arial"/>
          <w:sz w:val="20"/>
          <w:szCs w:val="20"/>
          <w:lang w:val="en-GB" w:eastAsia="ja-JP"/>
        </w:rPr>
        <w:t xml:space="preserve"> management</w:t>
      </w:r>
      <w:r w:rsidRPr="00877A84">
        <w:rPr>
          <w:rFonts w:ascii="Arial" w:hAnsi="Arial" w:cs="Arial"/>
          <w:sz w:val="20"/>
          <w:szCs w:val="20"/>
          <w:lang w:val="en-GB" w:eastAsia="ja-JP"/>
        </w:rPr>
        <w:t xml:space="preserve">. </w:t>
      </w:r>
      <w:r w:rsidRPr="007F6F5F">
        <w:rPr>
          <w:rFonts w:ascii="Arial" w:hAnsi="Arial" w:cs="Arial"/>
          <w:sz w:val="20"/>
          <w:szCs w:val="20"/>
          <w:lang w:val="en-GB" w:eastAsia="ja-JP"/>
        </w:rPr>
        <w:t xml:space="preserve">FDM </w:t>
      </w:r>
      <w:r w:rsidR="00C57367" w:rsidRPr="007F6F5F">
        <w:rPr>
          <w:rFonts w:ascii="Arial" w:hAnsi="Arial" w:cs="Arial"/>
          <w:sz w:val="20"/>
          <w:szCs w:val="20"/>
          <w:lang w:val="en-GB" w:eastAsia="ja-JP"/>
        </w:rPr>
        <w:t>will</w:t>
      </w:r>
      <w:r w:rsidRPr="007F6F5F">
        <w:rPr>
          <w:rFonts w:ascii="Arial" w:hAnsi="Arial" w:cs="Arial"/>
          <w:sz w:val="20"/>
          <w:szCs w:val="20"/>
          <w:lang w:val="en-GB" w:eastAsia="ja-JP"/>
        </w:rPr>
        <w:t xml:space="preserve"> coordinate the available spectrum to allow for </w:t>
      </w:r>
      <w:r w:rsidR="00330DE5" w:rsidRPr="007F6F5F">
        <w:rPr>
          <w:rFonts w:ascii="Arial" w:hAnsi="Arial" w:cs="Arial"/>
          <w:sz w:val="20"/>
          <w:szCs w:val="20"/>
          <w:lang w:val="en-GB" w:eastAsia="ja-JP"/>
        </w:rPr>
        <w:t>simultaneous</w:t>
      </w:r>
      <w:r w:rsidR="00A030F5" w:rsidRPr="007F6F5F">
        <w:rPr>
          <w:rFonts w:ascii="Arial" w:hAnsi="Arial" w:cs="Arial"/>
          <w:sz w:val="20"/>
          <w:szCs w:val="20"/>
          <w:lang w:val="en-GB" w:eastAsia="ja-JP"/>
        </w:rPr>
        <w:t xml:space="preserve"> IAB-MT and IAB-</w:t>
      </w:r>
      <w:r w:rsidRPr="007F6F5F">
        <w:rPr>
          <w:rFonts w:ascii="Arial" w:hAnsi="Arial" w:cs="Arial"/>
          <w:sz w:val="20"/>
          <w:szCs w:val="20"/>
          <w:lang w:val="en-GB" w:eastAsia="ja-JP"/>
        </w:rPr>
        <w:t xml:space="preserve">DU </w:t>
      </w:r>
      <w:r w:rsidRPr="007F6F5F" w:rsidDel="00A030F5">
        <w:rPr>
          <w:rFonts w:ascii="Arial" w:hAnsi="Arial" w:cs="Arial"/>
          <w:sz w:val="20"/>
          <w:szCs w:val="20"/>
          <w:lang w:val="en-GB" w:eastAsia="ja-JP"/>
        </w:rPr>
        <w:t>operation.</w:t>
      </w:r>
      <w:r w:rsidRPr="007F6F5F">
        <w:rPr>
          <w:rFonts w:ascii="Arial" w:hAnsi="Arial" w:cs="Arial"/>
          <w:sz w:val="20"/>
          <w:szCs w:val="20"/>
          <w:lang w:val="en-GB" w:eastAsia="ja-JP"/>
        </w:rPr>
        <w:t xml:space="preserve"> </w:t>
      </w:r>
    </w:p>
    <w:p w14:paraId="012FCFA0" w14:textId="073F2821" w:rsidR="00F74F17" w:rsidRPr="00877A84" w:rsidRDefault="008C4E24" w:rsidP="00872BF6">
      <w:pPr>
        <w:jc w:val="both"/>
        <w:rPr>
          <w:rFonts w:ascii="Arial" w:hAnsi="Arial" w:cs="Arial"/>
          <w:sz w:val="20"/>
          <w:szCs w:val="20"/>
          <w:lang w:val="en-GB"/>
        </w:rPr>
      </w:pPr>
      <w:r w:rsidRPr="00877A84">
        <w:rPr>
          <w:rFonts w:ascii="Arial" w:hAnsi="Arial" w:cs="Arial"/>
          <w:sz w:val="20"/>
          <w:szCs w:val="20"/>
          <w:lang w:val="en-GB"/>
        </w:rPr>
        <w:t>In RAN1#104</w:t>
      </w:r>
      <w:r w:rsidR="00FF5B40">
        <w:rPr>
          <w:rFonts w:ascii="Arial" w:hAnsi="Arial" w:cs="Arial"/>
          <w:sz w:val="20"/>
          <w:szCs w:val="20"/>
          <w:lang w:val="en-GB"/>
        </w:rPr>
        <w:t>bis</w:t>
      </w:r>
      <w:r w:rsidR="00D108B4">
        <w:rPr>
          <w:rFonts w:ascii="Arial" w:hAnsi="Arial" w:cs="Arial"/>
          <w:sz w:val="20"/>
          <w:szCs w:val="20"/>
          <w:lang w:val="en-GB"/>
        </w:rPr>
        <w:t>-e</w:t>
      </w:r>
      <w:r w:rsidRPr="00877A84">
        <w:rPr>
          <w:rFonts w:ascii="Arial" w:hAnsi="Arial" w:cs="Arial"/>
          <w:sz w:val="20"/>
          <w:szCs w:val="20"/>
          <w:lang w:val="en-GB"/>
        </w:rPr>
        <w:t xml:space="preserve">, the following objectives of frequency domain </w:t>
      </w:r>
      <w:r w:rsidR="00054527" w:rsidRPr="00877A84">
        <w:rPr>
          <w:rFonts w:ascii="Arial" w:hAnsi="Arial" w:cs="Arial"/>
          <w:sz w:val="20"/>
          <w:szCs w:val="20"/>
          <w:lang w:val="en-GB"/>
        </w:rPr>
        <w:t xml:space="preserve">resource </w:t>
      </w:r>
      <w:r w:rsidRPr="00877A84">
        <w:rPr>
          <w:rFonts w:ascii="Arial" w:hAnsi="Arial" w:cs="Arial"/>
          <w:sz w:val="20"/>
          <w:szCs w:val="20"/>
          <w:lang w:val="en-GB"/>
        </w:rPr>
        <w:t>multiplexing w</w:t>
      </w:r>
      <w:r w:rsidR="00054527" w:rsidRPr="00877A84">
        <w:rPr>
          <w:rFonts w:ascii="Arial" w:hAnsi="Arial" w:cs="Arial"/>
          <w:sz w:val="20"/>
          <w:szCs w:val="20"/>
          <w:lang w:val="en-GB"/>
        </w:rPr>
        <w:t>ere</w:t>
      </w:r>
      <w:r w:rsidRPr="00877A84">
        <w:rPr>
          <w:rFonts w:ascii="Arial" w:hAnsi="Arial" w:cs="Arial"/>
          <w:sz w:val="20"/>
          <w:szCs w:val="20"/>
          <w:lang w:val="en-GB"/>
        </w:rPr>
        <w:t xml:space="preserve"> </w:t>
      </w:r>
      <w:r w:rsidR="00F74F17" w:rsidRPr="00877A84">
        <w:rPr>
          <w:rFonts w:ascii="Arial" w:hAnsi="Arial" w:cs="Arial"/>
          <w:sz w:val="20"/>
          <w:szCs w:val="20"/>
          <w:lang w:val="en-GB"/>
        </w:rPr>
        <w:t>agreed</w:t>
      </w:r>
      <w:r w:rsidR="00776DBB" w:rsidRPr="00776DBB">
        <w:rPr>
          <w:rFonts w:ascii="Arial" w:hAnsi="Arial" w:cs="Arial"/>
          <w:sz w:val="20"/>
          <w:szCs w:val="20"/>
          <w:lang w:val="en-GB"/>
        </w:rPr>
        <w:t xml:space="preserve"> </w:t>
      </w:r>
      <w:r w:rsidR="00776DBB">
        <w:rPr>
          <w:rFonts w:ascii="Arial" w:hAnsi="Arial" w:cs="Arial"/>
          <w:sz w:val="20"/>
          <w:szCs w:val="20"/>
          <w:lang w:val="en-GB"/>
        </w:rPr>
        <w:fldChar w:fldCharType="begin"/>
      </w:r>
      <w:r w:rsidR="00776DBB">
        <w:rPr>
          <w:rFonts w:ascii="Arial" w:hAnsi="Arial" w:cs="Arial"/>
          <w:sz w:val="20"/>
          <w:szCs w:val="20"/>
          <w:lang w:val="en-GB"/>
        </w:rPr>
        <w:instrText xml:space="preserve"> REF _Ref70195782 \r \h </w:instrText>
      </w:r>
      <w:r w:rsidR="006740AE">
        <w:rPr>
          <w:rFonts w:ascii="Arial" w:hAnsi="Arial" w:cs="Arial"/>
          <w:sz w:val="20"/>
          <w:szCs w:val="20"/>
          <w:lang w:val="en-GB"/>
        </w:rPr>
        <w:instrText xml:space="preserve"> \* MERGEFORMAT </w:instrText>
      </w:r>
      <w:r w:rsidR="00776DBB">
        <w:rPr>
          <w:rFonts w:ascii="Arial" w:hAnsi="Arial" w:cs="Arial"/>
          <w:sz w:val="20"/>
          <w:szCs w:val="20"/>
          <w:lang w:val="en-GB"/>
        </w:rPr>
      </w:r>
      <w:r w:rsidR="00776DBB">
        <w:rPr>
          <w:rFonts w:ascii="Arial" w:hAnsi="Arial" w:cs="Arial"/>
          <w:sz w:val="20"/>
          <w:szCs w:val="20"/>
          <w:lang w:val="en-GB"/>
        </w:rPr>
        <w:fldChar w:fldCharType="separate"/>
      </w:r>
      <w:r w:rsidR="00301FA3">
        <w:rPr>
          <w:rFonts w:ascii="Arial" w:hAnsi="Arial" w:cs="Arial"/>
          <w:sz w:val="20"/>
          <w:szCs w:val="20"/>
          <w:lang w:val="en-GB"/>
        </w:rPr>
        <w:t>[4]</w:t>
      </w:r>
      <w:r w:rsidR="00776DBB">
        <w:rPr>
          <w:rFonts w:ascii="Arial" w:hAnsi="Arial" w:cs="Arial"/>
          <w:sz w:val="20"/>
          <w:szCs w:val="20"/>
          <w:lang w:val="en-GB"/>
        </w:rPr>
        <w:fldChar w:fldCharType="end"/>
      </w:r>
      <w:r w:rsidR="00F74F17" w:rsidRPr="00877A84">
        <w:rPr>
          <w:rFonts w:ascii="Arial" w:hAnsi="Arial" w:cs="Arial"/>
          <w:sz w:val="20"/>
          <w:szCs w:val="20"/>
          <w:lang w:val="en-GB"/>
        </w:rPr>
        <w:t>:</w:t>
      </w:r>
    </w:p>
    <w:tbl>
      <w:tblPr>
        <w:tblStyle w:val="TableGrid"/>
        <w:tblW w:w="0" w:type="auto"/>
        <w:tblLook w:val="04A0" w:firstRow="1" w:lastRow="0" w:firstColumn="1" w:lastColumn="0" w:noHBand="0" w:noVBand="1"/>
      </w:tblPr>
      <w:tblGrid>
        <w:gridCol w:w="9629"/>
      </w:tblGrid>
      <w:tr w:rsidR="00F74F17" w:rsidRPr="004A67F8" w14:paraId="40F21A10" w14:textId="77777777" w:rsidTr="00EE6BB3">
        <w:tc>
          <w:tcPr>
            <w:tcW w:w="9629" w:type="dxa"/>
          </w:tcPr>
          <w:p w14:paraId="56E7C3E2" w14:textId="77777777" w:rsidR="00207CCA" w:rsidRPr="00207CCA" w:rsidRDefault="00207CCA" w:rsidP="00207CCA">
            <w:pPr>
              <w:contextualSpacing/>
              <w:jc w:val="both"/>
              <w:rPr>
                <w:rFonts w:ascii="Arial" w:hAnsi="Arial" w:cs="Arial"/>
                <w:sz w:val="20"/>
                <w:szCs w:val="20"/>
                <w:lang w:val="en-GB"/>
              </w:rPr>
            </w:pPr>
            <w:r w:rsidRPr="00207CCA">
              <w:rPr>
                <w:rFonts w:ascii="Arial" w:hAnsi="Arial" w:cs="Arial"/>
                <w:b/>
                <w:bCs/>
                <w:sz w:val="20"/>
                <w:szCs w:val="20"/>
                <w:highlight w:val="green"/>
                <w:lang w:val="en-GB"/>
              </w:rPr>
              <w:t>Agreement</w:t>
            </w:r>
          </w:p>
          <w:p w14:paraId="1452A3B3" w14:textId="42A8A1F7" w:rsidR="00207CCA" w:rsidRDefault="00207CCA" w:rsidP="00207CCA">
            <w:pPr>
              <w:contextualSpacing/>
              <w:jc w:val="both"/>
              <w:rPr>
                <w:rFonts w:ascii="Arial" w:hAnsi="Arial" w:cs="Arial"/>
                <w:sz w:val="20"/>
                <w:szCs w:val="20"/>
                <w:lang w:val="en-GB"/>
              </w:rPr>
            </w:pPr>
            <w:r w:rsidRPr="00207CCA">
              <w:rPr>
                <w:rFonts w:ascii="Arial" w:hAnsi="Arial" w:cs="Arial"/>
                <w:sz w:val="20"/>
                <w:szCs w:val="20"/>
                <w:lang w:val="en-GB"/>
              </w:rPr>
              <w:t>The extension of the semi-static DU resource type indication to frequency-domain resources within a carrier (in addition to existing Rel-16 per-carrier granularity) for H/S/NA resource types is supported</w:t>
            </w:r>
          </w:p>
          <w:p w14:paraId="5A5A5745" w14:textId="77777777" w:rsidR="00207CCA" w:rsidRPr="00207CCA" w:rsidRDefault="00207CCA" w:rsidP="00207CCA">
            <w:pPr>
              <w:contextualSpacing/>
              <w:jc w:val="both"/>
              <w:rPr>
                <w:rFonts w:ascii="Arial" w:hAnsi="Arial" w:cs="Arial"/>
                <w:sz w:val="20"/>
                <w:szCs w:val="20"/>
                <w:lang w:val="en-GB"/>
              </w:rPr>
            </w:pPr>
          </w:p>
          <w:p w14:paraId="415EC166" w14:textId="77777777" w:rsidR="00207CCA" w:rsidRPr="00207CCA" w:rsidRDefault="00207CCA" w:rsidP="00207CCA">
            <w:pPr>
              <w:contextualSpacing/>
              <w:jc w:val="both"/>
              <w:rPr>
                <w:rFonts w:ascii="Arial" w:hAnsi="Arial" w:cs="Arial"/>
                <w:sz w:val="20"/>
                <w:szCs w:val="20"/>
                <w:lang w:val="en-GB"/>
              </w:rPr>
            </w:pPr>
            <w:r w:rsidRPr="00207CCA">
              <w:rPr>
                <w:rFonts w:ascii="Arial" w:hAnsi="Arial" w:cs="Arial"/>
                <w:b/>
                <w:bCs/>
                <w:sz w:val="20"/>
                <w:szCs w:val="20"/>
                <w:highlight w:val="green"/>
                <w:lang w:val="en-GB"/>
              </w:rPr>
              <w:t>Agreement</w:t>
            </w:r>
          </w:p>
          <w:p w14:paraId="6B2E48CF" w14:textId="77777777" w:rsidR="00207CCA" w:rsidRPr="00207CCA" w:rsidRDefault="00207CCA" w:rsidP="00207CCA">
            <w:pPr>
              <w:contextualSpacing/>
              <w:jc w:val="both"/>
              <w:rPr>
                <w:rFonts w:ascii="Arial" w:hAnsi="Arial" w:cs="Arial"/>
                <w:sz w:val="20"/>
                <w:szCs w:val="20"/>
                <w:lang w:val="en-GB"/>
              </w:rPr>
            </w:pPr>
            <w:r w:rsidRPr="00207CCA">
              <w:rPr>
                <w:rFonts w:ascii="Arial" w:hAnsi="Arial" w:cs="Arial"/>
                <w:sz w:val="20"/>
                <w:szCs w:val="20"/>
                <w:lang w:val="en-GB"/>
              </w:rPr>
              <w:t>For the semi-static DU resource configuration in the frequency domain within a carrier, the frequency-domain granularity is configurable</w:t>
            </w:r>
          </w:p>
          <w:p w14:paraId="69AC1679" w14:textId="77777777" w:rsidR="00207CCA" w:rsidRPr="00207CCA" w:rsidRDefault="00207CCA" w:rsidP="00E9707C">
            <w:pPr>
              <w:numPr>
                <w:ilvl w:val="0"/>
                <w:numId w:val="24"/>
              </w:numPr>
              <w:contextualSpacing/>
              <w:jc w:val="both"/>
              <w:rPr>
                <w:rFonts w:ascii="Arial" w:hAnsi="Arial" w:cs="Arial"/>
                <w:sz w:val="20"/>
                <w:szCs w:val="20"/>
                <w:lang w:val="en-GB"/>
              </w:rPr>
            </w:pPr>
            <w:r w:rsidRPr="00207CCA">
              <w:rPr>
                <w:rFonts w:ascii="Arial" w:hAnsi="Arial" w:cs="Arial"/>
                <w:sz w:val="20"/>
                <w:szCs w:val="20"/>
                <w:lang w:val="en-GB"/>
              </w:rPr>
              <w:t>FFS:  minimum resource size e.g. N PRBs/N RBGs</w:t>
            </w:r>
          </w:p>
          <w:p w14:paraId="09E701BE" w14:textId="390A4AD2" w:rsidR="00207CCA" w:rsidRPr="00207CCA" w:rsidRDefault="00207CCA" w:rsidP="00E9707C">
            <w:pPr>
              <w:numPr>
                <w:ilvl w:val="0"/>
                <w:numId w:val="24"/>
              </w:numPr>
              <w:contextualSpacing/>
              <w:jc w:val="both"/>
              <w:rPr>
                <w:rFonts w:ascii="Arial" w:hAnsi="Arial" w:cs="Arial"/>
                <w:sz w:val="20"/>
                <w:szCs w:val="20"/>
                <w:lang w:val="en-GB"/>
              </w:rPr>
            </w:pPr>
            <w:r w:rsidRPr="00207CCA">
              <w:rPr>
                <w:rFonts w:ascii="Arial" w:hAnsi="Arial" w:cs="Arial"/>
                <w:sz w:val="20"/>
                <w:szCs w:val="20"/>
                <w:lang w:val="en-GB"/>
              </w:rPr>
              <w:t>FFS: Separate or joint TDM and FDM semi-static DU resource configurations</w:t>
            </w:r>
          </w:p>
          <w:p w14:paraId="5AE53028" w14:textId="1647EFBB" w:rsidR="00207CCA" w:rsidRPr="006F0E2B" w:rsidRDefault="00207CCA" w:rsidP="00207CCA">
            <w:pPr>
              <w:ind w:left="360"/>
              <w:contextualSpacing/>
              <w:jc w:val="both"/>
              <w:rPr>
                <w:rFonts w:ascii="Arial" w:hAnsi="Arial" w:cs="Arial"/>
                <w:sz w:val="20"/>
                <w:szCs w:val="20"/>
                <w:lang w:val="en-GB"/>
              </w:rPr>
            </w:pPr>
          </w:p>
          <w:p w14:paraId="7E3A8B12" w14:textId="77777777" w:rsidR="00207CCA" w:rsidRPr="00207CCA" w:rsidRDefault="00207CCA" w:rsidP="00207CCA">
            <w:pPr>
              <w:contextualSpacing/>
              <w:jc w:val="both"/>
              <w:rPr>
                <w:rFonts w:ascii="Arial" w:hAnsi="Arial" w:cs="Arial"/>
                <w:sz w:val="20"/>
                <w:szCs w:val="20"/>
                <w:lang w:val="en-GB"/>
              </w:rPr>
            </w:pPr>
            <w:r w:rsidRPr="00207CCA">
              <w:rPr>
                <w:rFonts w:ascii="Arial" w:hAnsi="Arial" w:cs="Arial"/>
                <w:b/>
                <w:bCs/>
                <w:sz w:val="20"/>
                <w:szCs w:val="20"/>
                <w:highlight w:val="green"/>
                <w:lang w:val="en-GB"/>
              </w:rPr>
              <w:t>Agreement</w:t>
            </w:r>
          </w:p>
          <w:p w14:paraId="26F62275" w14:textId="77777777" w:rsidR="00207CCA" w:rsidRPr="00207CCA" w:rsidRDefault="00207CCA" w:rsidP="00207CCA">
            <w:pPr>
              <w:contextualSpacing/>
              <w:jc w:val="both"/>
              <w:rPr>
                <w:rFonts w:ascii="Arial" w:hAnsi="Arial" w:cs="Arial"/>
                <w:sz w:val="20"/>
                <w:szCs w:val="20"/>
                <w:lang w:val="en-GB"/>
              </w:rPr>
            </w:pPr>
            <w:r w:rsidRPr="00207CCA">
              <w:rPr>
                <w:rFonts w:ascii="Arial" w:hAnsi="Arial" w:cs="Arial"/>
                <w:sz w:val="20"/>
                <w:szCs w:val="20"/>
                <w:lang w:val="en-GB"/>
              </w:rPr>
              <w:lastRenderedPageBreak/>
              <w:t>Soft resource availability indications for frequency-domain resources are supported</w:t>
            </w:r>
          </w:p>
          <w:p w14:paraId="4B94B227" w14:textId="77777777" w:rsidR="00207CCA" w:rsidRPr="00207CCA" w:rsidRDefault="00207CCA" w:rsidP="00E9707C">
            <w:pPr>
              <w:numPr>
                <w:ilvl w:val="0"/>
                <w:numId w:val="25"/>
              </w:numPr>
              <w:contextualSpacing/>
              <w:jc w:val="both"/>
              <w:rPr>
                <w:rFonts w:ascii="Arial" w:hAnsi="Arial" w:cs="Arial"/>
                <w:sz w:val="20"/>
                <w:szCs w:val="20"/>
                <w:lang w:val="en-GB"/>
              </w:rPr>
            </w:pPr>
            <w:r w:rsidRPr="00207CCA">
              <w:rPr>
                <w:rFonts w:ascii="Arial" w:hAnsi="Arial" w:cs="Arial"/>
                <w:sz w:val="20"/>
                <w:szCs w:val="20"/>
                <w:lang w:val="en-GB"/>
              </w:rPr>
              <w:t>FFS enhancements to DCI Format 2_5</w:t>
            </w:r>
          </w:p>
          <w:p w14:paraId="670B8B76" w14:textId="4916D6DF" w:rsidR="00527394" w:rsidRPr="00A54D42" w:rsidRDefault="00207CCA" w:rsidP="00E9707C">
            <w:pPr>
              <w:numPr>
                <w:ilvl w:val="0"/>
                <w:numId w:val="25"/>
              </w:numPr>
              <w:contextualSpacing/>
              <w:jc w:val="both"/>
              <w:rPr>
                <w:rFonts w:ascii="Arial" w:hAnsi="Arial" w:cs="Arial"/>
                <w:sz w:val="20"/>
                <w:szCs w:val="20"/>
                <w:lang w:val="en-GB"/>
              </w:rPr>
            </w:pPr>
            <w:r w:rsidRPr="00207CCA">
              <w:rPr>
                <w:rFonts w:ascii="Arial" w:hAnsi="Arial" w:cs="Arial"/>
                <w:sz w:val="20"/>
                <w:szCs w:val="20"/>
                <w:lang w:val="en-GB"/>
              </w:rPr>
              <w:t>FFS: Separate or joint TDM and FDM indications</w:t>
            </w:r>
          </w:p>
        </w:tc>
      </w:tr>
    </w:tbl>
    <w:p w14:paraId="41E6AC41" w14:textId="55272809" w:rsidR="00DB16A5" w:rsidRPr="00DB16A5" w:rsidRDefault="00DB16A5" w:rsidP="00DB16A5">
      <w:pPr>
        <w:spacing w:before="240"/>
        <w:jc w:val="both"/>
        <w:rPr>
          <w:rFonts w:ascii="Arial" w:hAnsi="Arial" w:cs="Arial"/>
          <w:sz w:val="20"/>
          <w:szCs w:val="20"/>
          <w:lang w:val="en-GB"/>
        </w:rPr>
      </w:pPr>
    </w:p>
    <w:p w14:paraId="24901DB2" w14:textId="43E4F22E" w:rsidR="00F3405C" w:rsidRPr="00C75E69" w:rsidRDefault="00032CA1" w:rsidP="006857A6">
      <w:pPr>
        <w:pStyle w:val="Heading3"/>
        <w:tabs>
          <w:tab w:val="num" w:pos="720"/>
        </w:tabs>
        <w:jc w:val="both"/>
      </w:pPr>
      <w:bookmarkStart w:id="1" w:name="_Ref58590315"/>
      <w:r w:rsidRPr="00C75E69">
        <w:t>Frequency-domain H/S/NA</w:t>
      </w:r>
      <w:bookmarkEnd w:id="1"/>
    </w:p>
    <w:p w14:paraId="10F93B3E" w14:textId="1F35DD0B" w:rsidR="00F74F17" w:rsidRPr="00475B9D" w:rsidRDefault="00501521" w:rsidP="00872BF6">
      <w:pPr>
        <w:jc w:val="both"/>
        <w:rPr>
          <w:rFonts w:ascii="Arial" w:hAnsi="Arial" w:cs="Arial"/>
          <w:sz w:val="20"/>
          <w:szCs w:val="20"/>
          <w:lang w:val="en-GB"/>
        </w:rPr>
      </w:pPr>
      <w:r>
        <w:rPr>
          <w:rFonts w:ascii="Arial" w:hAnsi="Arial" w:cs="Arial"/>
          <w:sz w:val="20"/>
          <w:szCs w:val="20"/>
          <w:lang w:val="en-GB"/>
        </w:rPr>
        <w:t>For</w:t>
      </w:r>
      <w:r w:rsidR="00F74F17" w:rsidRPr="00475B9D">
        <w:rPr>
          <w:rFonts w:ascii="Arial" w:hAnsi="Arial" w:cs="Arial"/>
          <w:sz w:val="20"/>
          <w:szCs w:val="20"/>
          <w:lang w:val="en-GB"/>
        </w:rPr>
        <w:t xml:space="preserve"> an IAB-node capable of </w:t>
      </w:r>
      <w:r w:rsidR="00BE3761">
        <w:rPr>
          <w:rFonts w:ascii="Arial" w:hAnsi="Arial" w:cs="Arial"/>
          <w:sz w:val="20"/>
          <w:szCs w:val="20"/>
          <w:lang w:val="en-GB"/>
        </w:rPr>
        <w:t>simultaneous operation</w:t>
      </w:r>
      <w:r w:rsidR="00F74F17" w:rsidRPr="00475B9D">
        <w:rPr>
          <w:rFonts w:ascii="Arial" w:hAnsi="Arial" w:cs="Arial"/>
          <w:sz w:val="20"/>
          <w:szCs w:val="20"/>
          <w:lang w:val="en-GB"/>
        </w:rPr>
        <w:t xml:space="preserve">, the IAB-MT and IAB-DU can use time-domain resources simultaneously but need coordination on the usage of frequency-domain resources. </w:t>
      </w:r>
      <w:r w:rsidR="00790005">
        <w:rPr>
          <w:rFonts w:ascii="Arial" w:hAnsi="Arial" w:cs="Arial"/>
          <w:sz w:val="20"/>
          <w:szCs w:val="20"/>
          <w:lang w:val="en-GB"/>
        </w:rPr>
        <w:t>As agreed in the RAN1#104bis</w:t>
      </w:r>
      <w:r w:rsidR="00F3700D">
        <w:rPr>
          <w:rFonts w:ascii="Arial" w:hAnsi="Arial" w:cs="Arial"/>
          <w:sz w:val="20"/>
          <w:szCs w:val="20"/>
          <w:lang w:val="en-GB"/>
        </w:rPr>
        <w:t>-e</w:t>
      </w:r>
      <w:r w:rsidR="00790005">
        <w:rPr>
          <w:rFonts w:ascii="Arial" w:hAnsi="Arial" w:cs="Arial"/>
          <w:sz w:val="20"/>
          <w:szCs w:val="20"/>
          <w:lang w:val="en-GB"/>
        </w:rPr>
        <w:t xml:space="preserve"> meeting</w:t>
      </w:r>
      <w:r w:rsidR="00F74F17" w:rsidRPr="00475B9D">
        <w:rPr>
          <w:rFonts w:ascii="Arial" w:hAnsi="Arial" w:cs="Arial"/>
          <w:sz w:val="20"/>
          <w:szCs w:val="20"/>
          <w:lang w:val="en-GB"/>
        </w:rPr>
        <w:t>, configuring frequency-domain resources with H/S/NA attributes</w:t>
      </w:r>
      <w:r w:rsidR="0047321F">
        <w:rPr>
          <w:rFonts w:ascii="Arial" w:hAnsi="Arial" w:cs="Arial"/>
          <w:sz w:val="20"/>
          <w:szCs w:val="20"/>
          <w:lang w:val="en-GB"/>
        </w:rPr>
        <w:t xml:space="preserve"> is supported in Rel-17 IAB</w:t>
      </w:r>
      <w:r w:rsidR="00AB66B5">
        <w:rPr>
          <w:rFonts w:ascii="Arial" w:hAnsi="Arial" w:cs="Arial"/>
          <w:sz w:val="20"/>
          <w:szCs w:val="20"/>
          <w:lang w:val="en-GB"/>
        </w:rPr>
        <w:t xml:space="preserve"> to</w:t>
      </w:r>
      <w:r w:rsidR="00F74F17" w:rsidRPr="00475B9D">
        <w:rPr>
          <w:rFonts w:ascii="Arial" w:hAnsi="Arial" w:cs="Arial"/>
          <w:sz w:val="20"/>
          <w:szCs w:val="20"/>
          <w:lang w:val="en-GB"/>
        </w:rPr>
        <w:t xml:space="preserve"> enable certain coordination between the IAB-node and its parent node about the frequency-domain resources, and thereby allows for </w:t>
      </w:r>
      <w:r w:rsidR="00151442" w:rsidRPr="00475B9D">
        <w:rPr>
          <w:rFonts w:ascii="Arial" w:hAnsi="Arial" w:cs="Arial"/>
          <w:sz w:val="20"/>
          <w:szCs w:val="20"/>
          <w:lang w:val="en-GB"/>
        </w:rPr>
        <w:t>improved</w:t>
      </w:r>
      <w:r w:rsidR="00F74F17" w:rsidRPr="00475B9D">
        <w:rPr>
          <w:rFonts w:ascii="Arial" w:hAnsi="Arial" w:cs="Arial"/>
          <w:sz w:val="20"/>
          <w:szCs w:val="20"/>
          <w:lang w:val="en-GB"/>
        </w:rPr>
        <w:t xml:space="preserve"> flexibility</w:t>
      </w:r>
      <w:r w:rsidR="00933E8D" w:rsidRPr="00475B9D">
        <w:rPr>
          <w:rFonts w:ascii="Arial" w:hAnsi="Arial" w:cs="Arial"/>
          <w:sz w:val="20"/>
          <w:szCs w:val="20"/>
          <w:lang w:val="en-GB"/>
        </w:rPr>
        <w:t xml:space="preserve"> and more efficient use of frequency resources</w:t>
      </w:r>
      <w:r w:rsidR="00F74F17" w:rsidRPr="00475B9D">
        <w:rPr>
          <w:rFonts w:ascii="Arial" w:hAnsi="Arial" w:cs="Arial"/>
          <w:sz w:val="20"/>
          <w:szCs w:val="20"/>
          <w:lang w:val="en-GB"/>
        </w:rPr>
        <w:t>.</w:t>
      </w:r>
    </w:p>
    <w:p w14:paraId="4E17E968" w14:textId="390435D1" w:rsidR="00E25302" w:rsidRDefault="00F74F17" w:rsidP="00872BF6">
      <w:pPr>
        <w:jc w:val="both"/>
        <w:rPr>
          <w:rFonts w:ascii="Arial" w:hAnsi="Arial" w:cs="Arial"/>
          <w:sz w:val="20"/>
          <w:szCs w:val="20"/>
          <w:lang w:val="en-GB"/>
        </w:rPr>
      </w:pPr>
      <w:r w:rsidRPr="00475B9D">
        <w:rPr>
          <w:rFonts w:ascii="Arial" w:hAnsi="Arial" w:cs="Arial"/>
          <w:sz w:val="20"/>
          <w:szCs w:val="20"/>
          <w:lang w:val="en-GB"/>
        </w:rPr>
        <w:t xml:space="preserve">The </w:t>
      </w:r>
      <w:r w:rsidR="00CB658E">
        <w:rPr>
          <w:rFonts w:ascii="Arial" w:hAnsi="Arial" w:cs="Arial"/>
          <w:sz w:val="20"/>
          <w:szCs w:val="20"/>
          <w:lang w:val="en-GB"/>
        </w:rPr>
        <w:t>FDM</w:t>
      </w:r>
      <w:r w:rsidRPr="00475B9D">
        <w:rPr>
          <w:rFonts w:ascii="Arial" w:hAnsi="Arial" w:cs="Arial"/>
          <w:sz w:val="20"/>
          <w:szCs w:val="20"/>
          <w:lang w:val="en-GB"/>
        </w:rPr>
        <w:t xml:space="preserve"> resource </w:t>
      </w:r>
      <w:r w:rsidR="00324AC5">
        <w:rPr>
          <w:rFonts w:ascii="Arial" w:hAnsi="Arial" w:cs="Arial"/>
          <w:sz w:val="20"/>
          <w:szCs w:val="20"/>
          <w:lang w:val="en-GB"/>
        </w:rPr>
        <w:t>allocations</w:t>
      </w:r>
      <w:r w:rsidRPr="00475B9D">
        <w:rPr>
          <w:rFonts w:ascii="Arial" w:hAnsi="Arial" w:cs="Arial"/>
          <w:sz w:val="20"/>
          <w:szCs w:val="20"/>
          <w:lang w:val="en-GB"/>
        </w:rPr>
        <w:t xml:space="preserve"> to which the H/S/NA resource type</w:t>
      </w:r>
      <w:r w:rsidR="00CB658E">
        <w:rPr>
          <w:rFonts w:ascii="Arial" w:hAnsi="Arial" w:cs="Arial"/>
          <w:sz w:val="20"/>
          <w:szCs w:val="20"/>
          <w:lang w:val="en-GB"/>
        </w:rPr>
        <w:t>s</w:t>
      </w:r>
      <w:r w:rsidRPr="00475B9D">
        <w:rPr>
          <w:rFonts w:ascii="Arial" w:hAnsi="Arial" w:cs="Arial"/>
          <w:sz w:val="20"/>
          <w:szCs w:val="20"/>
          <w:lang w:val="en-GB"/>
        </w:rPr>
        <w:t xml:space="preserve"> </w:t>
      </w:r>
      <w:r w:rsidR="00324AC5">
        <w:rPr>
          <w:rFonts w:ascii="Arial" w:hAnsi="Arial" w:cs="Arial"/>
          <w:sz w:val="20"/>
          <w:szCs w:val="20"/>
          <w:lang w:val="en-GB"/>
        </w:rPr>
        <w:t>apply</w:t>
      </w:r>
      <w:r w:rsidRPr="00475B9D">
        <w:rPr>
          <w:rFonts w:ascii="Arial" w:hAnsi="Arial" w:cs="Arial"/>
          <w:sz w:val="20"/>
          <w:szCs w:val="20"/>
          <w:lang w:val="en-GB"/>
        </w:rPr>
        <w:t xml:space="preserve"> should be compatible with resource allocation in frequency-domain for Rel-16 access </w:t>
      </w:r>
      <w:r w:rsidR="001C35E9" w:rsidRPr="00475B9D">
        <w:rPr>
          <w:rFonts w:ascii="Arial" w:hAnsi="Arial" w:cs="Arial"/>
          <w:sz w:val="20"/>
          <w:szCs w:val="20"/>
          <w:lang w:val="en-GB"/>
        </w:rPr>
        <w:t>UEs since</w:t>
      </w:r>
      <w:r w:rsidR="00324AC5">
        <w:rPr>
          <w:rFonts w:ascii="Arial" w:hAnsi="Arial" w:cs="Arial"/>
          <w:sz w:val="20"/>
          <w:szCs w:val="20"/>
          <w:lang w:val="en-GB"/>
        </w:rPr>
        <w:t xml:space="preserve"> this will simplify efficient resource utilization between UEs and </w:t>
      </w:r>
      <w:r w:rsidR="001F1FDB">
        <w:rPr>
          <w:rFonts w:ascii="Arial" w:hAnsi="Arial" w:cs="Arial"/>
          <w:sz w:val="20"/>
          <w:szCs w:val="20"/>
          <w:lang w:val="en-GB"/>
        </w:rPr>
        <w:t>IAB-node</w:t>
      </w:r>
      <w:r w:rsidR="00324AC5">
        <w:rPr>
          <w:rFonts w:ascii="Arial" w:hAnsi="Arial" w:cs="Arial"/>
          <w:sz w:val="20"/>
          <w:szCs w:val="20"/>
          <w:lang w:val="en-GB"/>
        </w:rPr>
        <w:t>s.</w:t>
      </w:r>
      <w:r w:rsidRPr="00475B9D">
        <w:rPr>
          <w:rFonts w:ascii="Arial" w:hAnsi="Arial" w:cs="Arial"/>
          <w:sz w:val="20"/>
          <w:szCs w:val="20"/>
          <w:lang w:val="en-GB"/>
        </w:rPr>
        <w:t xml:space="preserve"> </w:t>
      </w:r>
      <w:r w:rsidR="00324AC5">
        <w:rPr>
          <w:rFonts w:ascii="Arial" w:hAnsi="Arial" w:cs="Arial"/>
          <w:sz w:val="20"/>
          <w:szCs w:val="20"/>
          <w:lang w:val="en-GB"/>
        </w:rPr>
        <w:t>As presented in</w:t>
      </w:r>
      <w:r w:rsidR="00AE2A94">
        <w:rPr>
          <w:rFonts w:ascii="Arial" w:hAnsi="Arial" w:cs="Arial"/>
          <w:sz w:val="20"/>
          <w:szCs w:val="20"/>
          <w:lang w:val="en-GB"/>
        </w:rPr>
        <w:t xml:space="preserve"> TS 38.214 </w:t>
      </w:r>
      <w:r w:rsidR="00324AC5">
        <w:rPr>
          <w:rFonts w:ascii="Arial" w:hAnsi="Arial" w:cs="Arial"/>
          <w:sz w:val="20"/>
          <w:szCs w:val="20"/>
          <w:lang w:val="en-GB"/>
        </w:rPr>
        <w:t xml:space="preserve"> </w:t>
      </w:r>
      <w:r w:rsidR="00D108B4">
        <w:rPr>
          <w:rFonts w:ascii="Arial" w:hAnsi="Arial" w:cs="Arial"/>
          <w:sz w:val="20"/>
          <w:szCs w:val="20"/>
          <w:lang w:val="en-GB"/>
        </w:rPr>
        <w:fldChar w:fldCharType="begin"/>
      </w:r>
      <w:r w:rsidR="00D108B4">
        <w:rPr>
          <w:rFonts w:ascii="Arial" w:hAnsi="Arial" w:cs="Arial"/>
          <w:sz w:val="20"/>
          <w:szCs w:val="20"/>
          <w:lang w:val="en-GB"/>
        </w:rPr>
        <w:instrText xml:space="preserve"> REF _Ref70110054 \r \h </w:instrText>
      </w:r>
      <w:r w:rsidR="006740AE">
        <w:rPr>
          <w:rFonts w:ascii="Arial" w:hAnsi="Arial" w:cs="Arial"/>
          <w:sz w:val="20"/>
          <w:szCs w:val="20"/>
          <w:lang w:val="en-GB"/>
        </w:rPr>
        <w:instrText xml:space="preserve"> \* MERGEFORMAT </w:instrText>
      </w:r>
      <w:r w:rsidR="00D108B4">
        <w:rPr>
          <w:rFonts w:ascii="Arial" w:hAnsi="Arial" w:cs="Arial"/>
          <w:sz w:val="20"/>
          <w:szCs w:val="20"/>
          <w:lang w:val="en-GB"/>
        </w:rPr>
      </w:r>
      <w:r w:rsidR="00D108B4">
        <w:rPr>
          <w:rFonts w:ascii="Arial" w:hAnsi="Arial" w:cs="Arial"/>
          <w:sz w:val="20"/>
          <w:szCs w:val="20"/>
          <w:lang w:val="en-GB"/>
        </w:rPr>
        <w:fldChar w:fldCharType="separate"/>
      </w:r>
      <w:r w:rsidR="00301FA3">
        <w:rPr>
          <w:rFonts w:ascii="Arial" w:hAnsi="Arial" w:cs="Arial"/>
          <w:sz w:val="20"/>
          <w:szCs w:val="20"/>
          <w:lang w:val="en-GB"/>
        </w:rPr>
        <w:t>[5]</w:t>
      </w:r>
      <w:r w:rsidR="00D108B4">
        <w:rPr>
          <w:rFonts w:ascii="Arial" w:hAnsi="Arial" w:cs="Arial"/>
          <w:sz w:val="20"/>
          <w:szCs w:val="20"/>
          <w:lang w:val="en-GB"/>
        </w:rPr>
        <w:fldChar w:fldCharType="end"/>
      </w:r>
      <w:r w:rsidR="00324AC5" w:rsidRPr="00475B9D">
        <w:rPr>
          <w:rFonts w:ascii="Arial" w:hAnsi="Arial" w:cs="Arial"/>
          <w:sz w:val="20"/>
          <w:szCs w:val="20"/>
          <w:lang w:val="en-GB"/>
        </w:rPr>
        <w:t>, 5.1.2.2 for DL and 6.1.2.2 for UL</w:t>
      </w:r>
      <w:r w:rsidR="004A478F">
        <w:rPr>
          <w:rFonts w:ascii="Arial" w:hAnsi="Arial" w:cs="Arial"/>
          <w:sz w:val="20"/>
          <w:szCs w:val="20"/>
          <w:lang w:val="en-GB"/>
        </w:rPr>
        <w:t xml:space="preserve">, </w:t>
      </w:r>
      <w:r w:rsidRPr="00475B9D">
        <w:rPr>
          <w:rFonts w:ascii="Arial" w:hAnsi="Arial" w:cs="Arial"/>
          <w:sz w:val="20"/>
          <w:szCs w:val="20"/>
          <w:lang w:val="en-GB"/>
        </w:rPr>
        <w:t>resource block groups (RBGs)</w:t>
      </w:r>
      <w:r w:rsidR="004A478F">
        <w:rPr>
          <w:rFonts w:ascii="Arial" w:hAnsi="Arial" w:cs="Arial"/>
          <w:sz w:val="20"/>
          <w:szCs w:val="20"/>
          <w:lang w:val="en-GB"/>
        </w:rPr>
        <w:t xml:space="preserve"> are used for this purpose</w:t>
      </w:r>
      <w:r w:rsidRPr="00475B9D">
        <w:rPr>
          <w:rFonts w:ascii="Arial" w:hAnsi="Arial" w:cs="Arial"/>
          <w:sz w:val="20"/>
          <w:szCs w:val="20"/>
          <w:lang w:val="en-GB"/>
        </w:rPr>
        <w:t xml:space="preserve">. </w:t>
      </w:r>
      <w:r w:rsidR="00DA1C94">
        <w:rPr>
          <w:rFonts w:ascii="Arial" w:hAnsi="Arial" w:cs="Arial"/>
          <w:sz w:val="20"/>
          <w:szCs w:val="20"/>
          <w:lang w:val="en-GB"/>
        </w:rPr>
        <w:t xml:space="preserve">In this sense, an </w:t>
      </w:r>
      <w:r w:rsidR="00933E8D" w:rsidRPr="00475B9D">
        <w:rPr>
          <w:rFonts w:ascii="Arial" w:hAnsi="Arial" w:cs="Arial"/>
          <w:sz w:val="20"/>
          <w:szCs w:val="20"/>
          <w:lang w:val="en-GB"/>
        </w:rPr>
        <w:t xml:space="preserve">RBG </w:t>
      </w:r>
      <w:r w:rsidR="00DA1C94">
        <w:rPr>
          <w:rFonts w:ascii="Arial" w:hAnsi="Arial" w:cs="Arial"/>
          <w:sz w:val="20"/>
          <w:szCs w:val="20"/>
          <w:lang w:val="en-GB"/>
        </w:rPr>
        <w:t>is a</w:t>
      </w:r>
      <w:r w:rsidR="00933E8D" w:rsidRPr="00475B9D">
        <w:rPr>
          <w:rFonts w:ascii="Arial" w:hAnsi="Arial" w:cs="Arial"/>
          <w:sz w:val="20"/>
          <w:szCs w:val="20"/>
          <w:lang w:val="en-GB"/>
        </w:rPr>
        <w:t xml:space="preserve"> reasonable minimum frequency domain resource unit for configuration. </w:t>
      </w:r>
      <w:r w:rsidRPr="00475B9D">
        <w:rPr>
          <w:rFonts w:ascii="Arial" w:hAnsi="Arial" w:cs="Arial"/>
          <w:sz w:val="20"/>
          <w:szCs w:val="20"/>
          <w:lang w:val="en-GB"/>
        </w:rPr>
        <w:t>Accordingly, it is advantageous to also indicate the frequency-domain H/S/NA per RBG. Hereinafter, an RBG for assigning frequency-domain H/S/NA is also referred to as an IAB-RBG to differentiate it from an RBG for UE frequency resource allocation. Conflicts between the frequency-domain H/S/NA configuration and RBG(s) allocated for certain UE should be avoided. One example of such conflict is that for an RBG configured to a UE, one part of the RBG may be a Hard resource whereas another part may be a NA resource. With this aspect considered, the size of IAB-RBG for configuring H/S/NA should contain integer multiples of the RBG size for access UE frequency resource allocation. For example, the same RBG size as UE frequency resource allocation can be used for frequency-domain H/S/NA configuration.</w:t>
      </w:r>
    </w:p>
    <w:p w14:paraId="553F2AC4" w14:textId="4FAC44D7" w:rsidR="009E0F60" w:rsidRPr="00475B9D" w:rsidRDefault="009E0F60" w:rsidP="00872BF6">
      <w:pPr>
        <w:jc w:val="both"/>
        <w:rPr>
          <w:rFonts w:ascii="Arial" w:hAnsi="Arial" w:cs="Arial"/>
          <w:sz w:val="20"/>
          <w:szCs w:val="20"/>
          <w:lang w:val="en-GB"/>
        </w:rPr>
      </w:pPr>
      <w:r>
        <w:rPr>
          <w:rFonts w:ascii="Arial" w:hAnsi="Arial" w:cs="Arial"/>
          <w:sz w:val="20"/>
          <w:szCs w:val="20"/>
          <w:lang w:val="en-GB"/>
        </w:rPr>
        <w:t xml:space="preserve">Another reason to use RBGs instead of PRBs is that the former is already coupled to the carrier BW, whereas the latter is not. </w:t>
      </w:r>
      <w:r w:rsidR="00BF15DA">
        <w:rPr>
          <w:rFonts w:ascii="Arial" w:hAnsi="Arial" w:cs="Arial"/>
          <w:sz w:val="20"/>
          <w:szCs w:val="20"/>
          <w:lang w:val="en-GB"/>
        </w:rPr>
        <w:t>Considering the large range of specified NR carriers,</w:t>
      </w:r>
      <w:r>
        <w:rPr>
          <w:rFonts w:ascii="Arial" w:hAnsi="Arial" w:cs="Arial"/>
          <w:sz w:val="20"/>
          <w:szCs w:val="20"/>
          <w:lang w:val="en-GB"/>
        </w:rPr>
        <w:t xml:space="preserve"> </w:t>
      </w:r>
      <w:r w:rsidR="00BF15DA">
        <w:rPr>
          <w:rFonts w:ascii="Arial" w:hAnsi="Arial" w:cs="Arial"/>
          <w:sz w:val="20"/>
          <w:szCs w:val="20"/>
          <w:lang w:val="en-GB"/>
        </w:rPr>
        <w:t xml:space="preserve">resource </w:t>
      </w:r>
      <w:r>
        <w:rPr>
          <w:rFonts w:ascii="Arial" w:hAnsi="Arial" w:cs="Arial"/>
          <w:sz w:val="20"/>
          <w:szCs w:val="20"/>
          <w:lang w:val="en-GB"/>
        </w:rPr>
        <w:t>configuration in PRBs will need to account for a much higher dynamic range, resulting in a higher configuration complexity. Without explicit advantages to using PRBs, this is a clear disadvantage that should be avoided</w:t>
      </w:r>
      <w:r w:rsidR="008D5D65">
        <w:rPr>
          <w:rFonts w:ascii="Arial" w:hAnsi="Arial" w:cs="Arial"/>
          <w:sz w:val="20"/>
          <w:szCs w:val="20"/>
          <w:lang w:val="en-GB"/>
        </w:rPr>
        <w:t xml:space="preserve"> if possible</w:t>
      </w:r>
      <w:r>
        <w:rPr>
          <w:rFonts w:ascii="Arial" w:hAnsi="Arial" w:cs="Arial"/>
          <w:sz w:val="20"/>
          <w:szCs w:val="20"/>
          <w:lang w:val="en-GB"/>
        </w:rPr>
        <w:t xml:space="preserve">. </w:t>
      </w:r>
    </w:p>
    <w:p w14:paraId="3E6D1E70" w14:textId="26F51AFA" w:rsidR="00E25302" w:rsidRPr="00B4490D" w:rsidRDefault="00872070" w:rsidP="007300CA">
      <w:pPr>
        <w:pStyle w:val="Observation"/>
      </w:pPr>
      <w:bookmarkStart w:id="2" w:name="_Toc71663376"/>
      <w:r w:rsidRPr="00B4490D">
        <w:t>It is b</w:t>
      </w:r>
      <w:r w:rsidR="00E25302" w:rsidRPr="00B4490D">
        <w:t>eneficial to align H/S/NA allocation to UE scheduling, which is based on RBGs.</w:t>
      </w:r>
      <w:bookmarkEnd w:id="2"/>
    </w:p>
    <w:p w14:paraId="78090160" w14:textId="77AC64CA" w:rsidR="00816BC3" w:rsidRPr="009453B3" w:rsidRDefault="00F74F17" w:rsidP="007300CA">
      <w:pPr>
        <w:pStyle w:val="Proposal"/>
      </w:pPr>
      <w:bookmarkStart w:id="3" w:name="_Toc58832840"/>
      <w:bookmarkStart w:id="4" w:name="_Toc61903475"/>
      <w:bookmarkStart w:id="5" w:name="_Toc71663387"/>
      <w:r w:rsidRPr="00877A84">
        <w:t xml:space="preserve">The frequency-domain H/S/NA is indicated per IAB-RBG, the size of which contains integer multiples </w:t>
      </w:r>
      <w:r w:rsidR="00482E7D">
        <w:t xml:space="preserve">N </w:t>
      </w:r>
      <w:r w:rsidRPr="00877A84">
        <w:t>of the RBG size configured for access UE frequency-domain resource allocation.</w:t>
      </w:r>
      <w:bookmarkEnd w:id="3"/>
      <w:bookmarkEnd w:id="4"/>
      <w:r w:rsidR="00482E7D">
        <w:br/>
        <w:t>FFS: The value of N</w:t>
      </w:r>
      <w:bookmarkEnd w:id="5"/>
    </w:p>
    <w:p w14:paraId="76B30D39" w14:textId="6B40BB59" w:rsidR="00F74F17" w:rsidRPr="00877A84" w:rsidRDefault="00F74F17" w:rsidP="00872BF6">
      <w:pPr>
        <w:tabs>
          <w:tab w:val="left" w:pos="594"/>
        </w:tabs>
        <w:jc w:val="both"/>
        <w:rPr>
          <w:rFonts w:ascii="Arial" w:hAnsi="Arial" w:cs="Arial"/>
          <w:sz w:val="20"/>
          <w:szCs w:val="20"/>
          <w:lang w:val="en-GB"/>
        </w:rPr>
      </w:pPr>
      <w:r w:rsidRPr="00877A84">
        <w:rPr>
          <w:rFonts w:ascii="Arial" w:hAnsi="Arial" w:cs="Arial"/>
          <w:sz w:val="20"/>
          <w:szCs w:val="20"/>
          <w:lang w:val="en-GB"/>
        </w:rPr>
        <w:t xml:space="preserve">Another differing aspect between time-domain and frequency-domain resources is the interference between adjacent resources. </w:t>
      </w:r>
      <w:r w:rsidRPr="007B7A90">
        <w:rPr>
          <w:rFonts w:ascii="Arial" w:hAnsi="Arial" w:cs="Arial"/>
          <w:sz w:val="20"/>
          <w:szCs w:val="20"/>
          <w:lang w:val="en-GB"/>
        </w:rPr>
        <w:t>In the TDM case, if the IAB-DU</w:t>
      </w:r>
      <w:r w:rsidRPr="007B7A90" w:rsidDel="00C0143C">
        <w:rPr>
          <w:rFonts w:ascii="Arial" w:hAnsi="Arial" w:cs="Arial"/>
          <w:sz w:val="20"/>
          <w:szCs w:val="20"/>
          <w:lang w:val="en-GB"/>
        </w:rPr>
        <w:t xml:space="preserve"> </w:t>
      </w:r>
      <w:r w:rsidR="00C0143C" w:rsidRPr="007B7A90">
        <w:rPr>
          <w:rFonts w:ascii="Arial" w:hAnsi="Arial" w:cs="Arial"/>
          <w:sz w:val="20"/>
          <w:szCs w:val="20"/>
          <w:lang w:val="en-GB"/>
        </w:rPr>
        <w:t>and IAB-MT use different slots</w:t>
      </w:r>
      <w:r w:rsidRPr="007B7A90">
        <w:rPr>
          <w:rFonts w:ascii="Arial" w:hAnsi="Arial" w:cs="Arial"/>
          <w:sz w:val="20"/>
          <w:szCs w:val="20"/>
          <w:lang w:val="en-GB"/>
        </w:rPr>
        <w:t xml:space="preserve">, there is no interference between IAB-DU and IAB-MT. </w:t>
      </w:r>
      <w:r w:rsidRPr="00877A84">
        <w:rPr>
          <w:rFonts w:ascii="Arial" w:hAnsi="Arial" w:cs="Arial"/>
          <w:sz w:val="20"/>
          <w:szCs w:val="20"/>
          <w:lang w:val="en-GB"/>
        </w:rPr>
        <w:t>But in the FDM case, if IAB-DU uses RBG1 and IAB-MT uses RBG2</w:t>
      </w:r>
      <w:r w:rsidR="007876FE">
        <w:rPr>
          <w:rFonts w:ascii="Arial" w:hAnsi="Arial" w:cs="Arial"/>
          <w:sz w:val="20"/>
          <w:szCs w:val="20"/>
          <w:lang w:val="en-GB"/>
        </w:rPr>
        <w:t>,</w:t>
      </w:r>
      <w:r w:rsidRPr="00877A84">
        <w:rPr>
          <w:rFonts w:ascii="Arial" w:hAnsi="Arial" w:cs="Arial"/>
          <w:sz w:val="20"/>
          <w:szCs w:val="20"/>
          <w:lang w:val="en-GB"/>
        </w:rPr>
        <w:t xml:space="preserve"> where RBG1 and RBG2 are contiguous, there may still be interference between IAB-DU and IAB-MT. </w:t>
      </w:r>
      <w:r w:rsidRPr="007B7A90">
        <w:rPr>
          <w:rFonts w:ascii="Arial" w:hAnsi="Arial" w:cs="Arial"/>
          <w:sz w:val="20"/>
          <w:szCs w:val="20"/>
          <w:lang w:val="en-GB"/>
        </w:rPr>
        <w:t xml:space="preserve">This is particularly relevant if the IAB-DU and IAB-MT use </w:t>
      </w:r>
      <w:r w:rsidR="00061F5D">
        <w:rPr>
          <w:rFonts w:ascii="Arial" w:hAnsi="Arial" w:cs="Arial"/>
          <w:sz w:val="20"/>
          <w:szCs w:val="20"/>
          <w:lang w:val="en-GB"/>
        </w:rPr>
        <w:t>different transmit power exa</w:t>
      </w:r>
      <w:r w:rsidR="001A320C">
        <w:rPr>
          <w:rFonts w:ascii="Arial" w:hAnsi="Arial" w:cs="Arial"/>
          <w:sz w:val="20"/>
          <w:szCs w:val="20"/>
          <w:lang w:val="en-GB"/>
        </w:rPr>
        <w:t>cerbating</w:t>
      </w:r>
      <w:r w:rsidR="00061F5D">
        <w:rPr>
          <w:rFonts w:ascii="Arial" w:hAnsi="Arial" w:cs="Arial"/>
          <w:sz w:val="20"/>
          <w:szCs w:val="20"/>
          <w:lang w:val="en-GB"/>
        </w:rPr>
        <w:t xml:space="preserve"> intra-carrier ACLR </w:t>
      </w:r>
      <w:r w:rsidR="00A06957">
        <w:rPr>
          <w:rFonts w:ascii="Arial" w:hAnsi="Arial" w:cs="Arial"/>
          <w:sz w:val="20"/>
          <w:szCs w:val="20"/>
          <w:lang w:val="en-GB"/>
        </w:rPr>
        <w:t>(technically, ACLR is not the entirely correct term, but reflects the problem)</w:t>
      </w:r>
      <w:r w:rsidR="00061F5D">
        <w:rPr>
          <w:rFonts w:ascii="Arial" w:hAnsi="Arial" w:cs="Arial"/>
          <w:sz w:val="20"/>
          <w:szCs w:val="20"/>
          <w:lang w:val="en-GB"/>
        </w:rPr>
        <w:t xml:space="preserve"> or </w:t>
      </w:r>
      <w:r w:rsidR="00A06957">
        <w:rPr>
          <w:rFonts w:ascii="Arial" w:hAnsi="Arial" w:cs="Arial"/>
          <w:sz w:val="20"/>
          <w:szCs w:val="20"/>
          <w:lang w:val="en-GB"/>
        </w:rPr>
        <w:t>use</w:t>
      </w:r>
      <w:r w:rsidR="00061F5D">
        <w:rPr>
          <w:rFonts w:ascii="Arial" w:hAnsi="Arial" w:cs="Arial"/>
          <w:sz w:val="20"/>
          <w:szCs w:val="20"/>
          <w:lang w:val="en-GB"/>
        </w:rPr>
        <w:t xml:space="preserve"> </w:t>
      </w:r>
      <w:r w:rsidRPr="007B7A90">
        <w:rPr>
          <w:rFonts w:ascii="Arial" w:hAnsi="Arial" w:cs="Arial"/>
          <w:sz w:val="20"/>
          <w:szCs w:val="20"/>
          <w:lang w:val="en-GB"/>
        </w:rPr>
        <w:t xml:space="preserve">separate transceiver chains, including separate FFTs, for which case leakage outside the IAB-MT or IAB-DU RBGs cannot be excluded </w:t>
      </w:r>
      <w:r w:rsidR="001A320C">
        <w:rPr>
          <w:rFonts w:ascii="Arial" w:hAnsi="Arial" w:cs="Arial"/>
          <w:sz w:val="20"/>
          <w:szCs w:val="20"/>
          <w:lang w:val="en-GB"/>
        </w:rPr>
        <w:t>due to non-orthogonality between subcarriers</w:t>
      </w:r>
      <w:r w:rsidRPr="007B7A90">
        <w:rPr>
          <w:rFonts w:ascii="Arial" w:hAnsi="Arial" w:cs="Arial"/>
          <w:sz w:val="20"/>
          <w:szCs w:val="20"/>
          <w:lang w:val="en-GB"/>
        </w:rPr>
        <w:t xml:space="preserve">. </w:t>
      </w:r>
      <w:r w:rsidRPr="00877A84">
        <w:rPr>
          <w:rFonts w:ascii="Arial" w:hAnsi="Arial" w:cs="Arial"/>
          <w:sz w:val="20"/>
          <w:szCs w:val="20"/>
          <w:lang w:val="en-GB"/>
        </w:rPr>
        <w:t>Th</w:t>
      </w:r>
      <w:r w:rsidR="001A320C">
        <w:rPr>
          <w:rFonts w:ascii="Arial" w:hAnsi="Arial" w:cs="Arial"/>
          <w:sz w:val="20"/>
          <w:szCs w:val="20"/>
          <w:lang w:val="en-GB"/>
        </w:rPr>
        <w:t xml:space="preserve">ese </w:t>
      </w:r>
      <w:r w:rsidRPr="00877A84">
        <w:rPr>
          <w:rFonts w:ascii="Arial" w:hAnsi="Arial" w:cs="Arial"/>
          <w:sz w:val="20"/>
          <w:szCs w:val="20"/>
          <w:lang w:val="en-GB"/>
        </w:rPr>
        <w:t>issue</w:t>
      </w:r>
      <w:r w:rsidR="001A320C">
        <w:rPr>
          <w:rFonts w:ascii="Arial" w:hAnsi="Arial" w:cs="Arial"/>
          <w:sz w:val="20"/>
          <w:szCs w:val="20"/>
          <w:lang w:val="en-GB"/>
        </w:rPr>
        <w:t>s</w:t>
      </w:r>
      <w:r w:rsidRPr="00877A84">
        <w:rPr>
          <w:rFonts w:ascii="Arial" w:hAnsi="Arial" w:cs="Arial"/>
          <w:sz w:val="20"/>
          <w:szCs w:val="20"/>
          <w:lang w:val="en-GB"/>
        </w:rPr>
        <w:t xml:space="preserve"> should be considered when </w:t>
      </w:r>
      <w:r w:rsidR="00BA5D0F">
        <w:rPr>
          <w:rFonts w:ascii="Arial" w:hAnsi="Arial" w:cs="Arial"/>
          <w:sz w:val="20"/>
          <w:szCs w:val="20"/>
          <w:lang w:val="en-GB"/>
        </w:rPr>
        <w:t>specifying</w:t>
      </w:r>
      <w:r w:rsidRPr="00877A84">
        <w:rPr>
          <w:rFonts w:ascii="Arial" w:hAnsi="Arial" w:cs="Arial"/>
          <w:sz w:val="20"/>
          <w:szCs w:val="20"/>
          <w:lang w:val="en-GB"/>
        </w:rPr>
        <w:t xml:space="preserve"> frequency-domain H/S in terms of the usage of certain resources at </w:t>
      </w:r>
      <w:r w:rsidR="001A320C">
        <w:rPr>
          <w:rFonts w:ascii="Arial" w:hAnsi="Arial" w:cs="Arial"/>
          <w:sz w:val="20"/>
          <w:szCs w:val="20"/>
          <w:lang w:val="en-GB"/>
        </w:rPr>
        <w:t xml:space="preserve">the </w:t>
      </w:r>
      <w:r w:rsidRPr="00877A84">
        <w:rPr>
          <w:rFonts w:ascii="Arial" w:hAnsi="Arial" w:cs="Arial"/>
          <w:sz w:val="20"/>
          <w:szCs w:val="20"/>
          <w:lang w:val="en-GB"/>
        </w:rPr>
        <w:t>IAB-DU/MT and the impact on IAB-MT/DU.</w:t>
      </w:r>
    </w:p>
    <w:p w14:paraId="4E0F47F4" w14:textId="51A714AD" w:rsidR="00F74F17" w:rsidRPr="007B7A90" w:rsidRDefault="00F74F17" w:rsidP="00872BF6">
      <w:pPr>
        <w:tabs>
          <w:tab w:val="left" w:pos="594"/>
        </w:tabs>
        <w:jc w:val="both"/>
        <w:rPr>
          <w:rFonts w:ascii="Arial" w:hAnsi="Arial" w:cs="Arial"/>
          <w:sz w:val="20"/>
          <w:szCs w:val="20"/>
          <w:lang w:val="en-GB"/>
        </w:rPr>
      </w:pPr>
      <w:r w:rsidRPr="007B7A90">
        <w:rPr>
          <w:rFonts w:ascii="Arial" w:hAnsi="Arial" w:cs="Arial"/>
          <w:sz w:val="20"/>
          <w:szCs w:val="20"/>
          <w:lang w:val="en-GB"/>
        </w:rPr>
        <w:t>To have a common understanding of frequency-domain resources</w:t>
      </w:r>
      <w:r w:rsidR="00BA5D0F">
        <w:rPr>
          <w:rFonts w:ascii="Arial" w:hAnsi="Arial" w:cs="Arial"/>
          <w:sz w:val="20"/>
          <w:szCs w:val="20"/>
          <w:lang w:val="en-GB"/>
        </w:rPr>
        <w:t>, and in line with normal UE scheduling</w:t>
      </w:r>
      <w:r w:rsidRPr="007B7A90">
        <w:rPr>
          <w:rFonts w:ascii="Arial" w:hAnsi="Arial" w:cs="Arial"/>
          <w:sz w:val="20"/>
          <w:szCs w:val="20"/>
          <w:lang w:val="en-GB"/>
        </w:rPr>
        <w:t>, the frequency-domain resources at the IAB-MT side are also divided into RBGs the same way as IAB-DU.</w:t>
      </w:r>
      <w:r w:rsidR="00F7612A">
        <w:rPr>
          <w:rFonts w:ascii="Arial" w:hAnsi="Arial" w:cs="Arial"/>
          <w:sz w:val="20"/>
          <w:szCs w:val="20"/>
          <w:lang w:val="en-GB"/>
        </w:rPr>
        <w:t xml:space="preserve"> To minimize signalling, we propose that any guard band is </w:t>
      </w:r>
      <w:r w:rsidR="0099798D">
        <w:rPr>
          <w:rFonts w:ascii="Arial" w:hAnsi="Arial" w:cs="Arial"/>
          <w:sz w:val="20"/>
          <w:szCs w:val="20"/>
          <w:lang w:val="en-GB"/>
        </w:rPr>
        <w:t xml:space="preserve">managed by the IAB-DU and hence </w:t>
      </w:r>
      <w:r w:rsidR="00F7612A">
        <w:rPr>
          <w:rFonts w:ascii="Arial" w:hAnsi="Arial" w:cs="Arial"/>
          <w:sz w:val="20"/>
          <w:szCs w:val="20"/>
          <w:lang w:val="en-GB"/>
        </w:rPr>
        <w:t>contained within the Hard or Soft-IA resource</w:t>
      </w:r>
      <w:r w:rsidR="0099798D">
        <w:rPr>
          <w:rFonts w:ascii="Arial" w:hAnsi="Arial" w:cs="Arial"/>
          <w:sz w:val="20"/>
          <w:szCs w:val="20"/>
          <w:lang w:val="en-GB"/>
        </w:rPr>
        <w:t>:</w:t>
      </w:r>
    </w:p>
    <w:p w14:paraId="3B484C69" w14:textId="14AE4550" w:rsidR="00F74F17" w:rsidRPr="00C75E69" w:rsidRDefault="00F74F17" w:rsidP="00E9707C">
      <w:pPr>
        <w:pStyle w:val="ListParagraph"/>
        <w:numPr>
          <w:ilvl w:val="0"/>
          <w:numId w:val="16"/>
        </w:numPr>
        <w:tabs>
          <w:tab w:val="left" w:pos="594"/>
        </w:tabs>
        <w:contextualSpacing/>
        <w:jc w:val="both"/>
        <w:rPr>
          <w:rFonts w:ascii="Arial" w:hAnsi="Arial" w:cs="Arial"/>
          <w:sz w:val="20"/>
          <w:szCs w:val="20"/>
          <w:lang w:val="en-GB"/>
        </w:rPr>
      </w:pPr>
      <w:r w:rsidRPr="00F83F35">
        <w:rPr>
          <w:rFonts w:ascii="Arial" w:hAnsi="Arial" w:cs="Arial"/>
          <w:b/>
          <w:bCs/>
          <w:sz w:val="20"/>
          <w:szCs w:val="20"/>
          <w:lang w:val="en-GB"/>
        </w:rPr>
        <w:t>For frequency-domain Hard resource:</w:t>
      </w:r>
      <w:r w:rsidRPr="00C75E69">
        <w:rPr>
          <w:rFonts w:ascii="Arial" w:hAnsi="Arial" w:cs="Arial"/>
          <w:sz w:val="20"/>
          <w:szCs w:val="20"/>
          <w:lang w:val="en-GB"/>
        </w:rPr>
        <w:t xml:space="preserve"> the </w:t>
      </w:r>
      <w:r w:rsidR="00372F40">
        <w:rPr>
          <w:rFonts w:ascii="Arial" w:hAnsi="Arial" w:cs="Arial"/>
          <w:sz w:val="20"/>
          <w:szCs w:val="20"/>
          <w:lang w:val="en-GB"/>
        </w:rPr>
        <w:t>IAB-</w:t>
      </w:r>
      <w:r w:rsidRPr="00C75E69">
        <w:rPr>
          <w:rFonts w:ascii="Arial" w:hAnsi="Arial" w:cs="Arial"/>
          <w:sz w:val="20"/>
          <w:szCs w:val="20"/>
          <w:lang w:val="en-GB"/>
        </w:rPr>
        <w:t>DU can use the resource irrespective of the impact on the MT’s ability to transmit or receive in the corresponding resource (i.e., the same RBG), provided it does not impact the MT’s ability to transmit and receive in any other resource (i.e., other RBGs).</w:t>
      </w:r>
    </w:p>
    <w:p w14:paraId="5FA819C8" w14:textId="07E1B752" w:rsidR="00F74F17" w:rsidRPr="00C75E69" w:rsidRDefault="00F74F17" w:rsidP="00E9707C">
      <w:pPr>
        <w:pStyle w:val="ListParagraph"/>
        <w:numPr>
          <w:ilvl w:val="0"/>
          <w:numId w:val="16"/>
        </w:numPr>
        <w:tabs>
          <w:tab w:val="left" w:pos="594"/>
        </w:tabs>
        <w:contextualSpacing/>
        <w:jc w:val="both"/>
        <w:rPr>
          <w:rFonts w:ascii="Arial" w:hAnsi="Arial" w:cs="Arial"/>
          <w:sz w:val="20"/>
          <w:szCs w:val="20"/>
          <w:lang w:val="en-GB"/>
        </w:rPr>
      </w:pPr>
      <w:r w:rsidRPr="00F83F35">
        <w:rPr>
          <w:rFonts w:ascii="Arial" w:hAnsi="Arial" w:cs="Arial"/>
          <w:b/>
          <w:bCs/>
          <w:sz w:val="20"/>
          <w:szCs w:val="20"/>
          <w:lang w:val="en-GB"/>
        </w:rPr>
        <w:t>For frequency-domain Soft resource:</w:t>
      </w:r>
      <w:r w:rsidRPr="00C75E69">
        <w:rPr>
          <w:rFonts w:ascii="Arial" w:hAnsi="Arial" w:cs="Arial"/>
          <w:sz w:val="20"/>
          <w:szCs w:val="20"/>
          <w:lang w:val="en-GB"/>
        </w:rPr>
        <w:t xml:space="preserve"> the </w:t>
      </w:r>
      <w:r w:rsidR="00372F40">
        <w:rPr>
          <w:rFonts w:ascii="Arial" w:hAnsi="Arial" w:cs="Arial"/>
          <w:sz w:val="20"/>
          <w:szCs w:val="20"/>
          <w:lang w:val="en-GB"/>
        </w:rPr>
        <w:t>IAB-</w:t>
      </w:r>
      <w:r w:rsidRPr="00C75E69">
        <w:rPr>
          <w:rFonts w:ascii="Arial" w:hAnsi="Arial" w:cs="Arial"/>
          <w:sz w:val="20"/>
          <w:szCs w:val="20"/>
          <w:lang w:val="en-GB"/>
        </w:rPr>
        <w:t xml:space="preserve">DU can use the resource only if it does not impact the MT’s </w:t>
      </w:r>
      <w:r w:rsidR="003B54F7">
        <w:rPr>
          <w:rFonts w:ascii="Arial" w:hAnsi="Arial" w:cs="Arial"/>
          <w:sz w:val="20"/>
          <w:szCs w:val="20"/>
          <w:lang w:val="en-GB"/>
        </w:rPr>
        <w:t>actual</w:t>
      </w:r>
      <w:r w:rsidRPr="00C75E69">
        <w:rPr>
          <w:rFonts w:ascii="Arial" w:hAnsi="Arial" w:cs="Arial"/>
          <w:sz w:val="20"/>
          <w:szCs w:val="20"/>
          <w:lang w:val="en-GB"/>
        </w:rPr>
        <w:t xml:space="preserve"> ability to transmit and receive in any resource (i.e., both the same RBG and other RBGs).</w:t>
      </w:r>
    </w:p>
    <w:p w14:paraId="4EF1EBFE" w14:textId="6F5C7D42" w:rsidR="00F74F17" w:rsidRPr="00C75E69" w:rsidRDefault="00F74F17" w:rsidP="00E9707C">
      <w:pPr>
        <w:pStyle w:val="ListParagraph"/>
        <w:numPr>
          <w:ilvl w:val="0"/>
          <w:numId w:val="16"/>
        </w:numPr>
        <w:tabs>
          <w:tab w:val="left" w:pos="594"/>
        </w:tabs>
        <w:contextualSpacing/>
        <w:jc w:val="both"/>
        <w:rPr>
          <w:rFonts w:ascii="Arial" w:hAnsi="Arial" w:cs="Arial"/>
          <w:sz w:val="20"/>
          <w:szCs w:val="20"/>
          <w:lang w:val="en-GB"/>
        </w:rPr>
      </w:pPr>
      <w:r w:rsidRPr="00F83F35">
        <w:rPr>
          <w:rFonts w:ascii="Arial" w:hAnsi="Arial" w:cs="Arial"/>
          <w:b/>
          <w:bCs/>
          <w:sz w:val="20"/>
          <w:szCs w:val="20"/>
          <w:lang w:val="en-GB"/>
        </w:rPr>
        <w:lastRenderedPageBreak/>
        <w:t>For frequency-domain NA resource:</w:t>
      </w:r>
      <w:r w:rsidRPr="00C75E69">
        <w:rPr>
          <w:rFonts w:ascii="Arial" w:hAnsi="Arial" w:cs="Arial"/>
          <w:sz w:val="20"/>
          <w:szCs w:val="20"/>
          <w:lang w:val="en-GB"/>
        </w:rPr>
        <w:t xml:space="preserve"> the </w:t>
      </w:r>
      <w:r w:rsidR="00372F40">
        <w:rPr>
          <w:rFonts w:ascii="Arial" w:hAnsi="Arial" w:cs="Arial"/>
          <w:sz w:val="20"/>
          <w:szCs w:val="20"/>
          <w:lang w:val="en-GB"/>
        </w:rPr>
        <w:t>IAB-</w:t>
      </w:r>
      <w:r w:rsidRPr="00C75E69">
        <w:rPr>
          <w:rFonts w:ascii="Arial" w:hAnsi="Arial" w:cs="Arial"/>
          <w:sz w:val="20"/>
          <w:szCs w:val="20"/>
          <w:lang w:val="en-GB"/>
        </w:rPr>
        <w:t xml:space="preserve">DU cannot use the resource. </w:t>
      </w:r>
    </w:p>
    <w:p w14:paraId="56F5260C" w14:textId="70C786BD" w:rsidR="00816BC3" w:rsidRDefault="00F74F17" w:rsidP="00872BF6">
      <w:pPr>
        <w:tabs>
          <w:tab w:val="left" w:pos="594"/>
        </w:tabs>
        <w:jc w:val="both"/>
        <w:rPr>
          <w:rFonts w:ascii="Arial" w:hAnsi="Arial" w:cs="Arial"/>
          <w:sz w:val="20"/>
          <w:szCs w:val="20"/>
          <w:lang w:val="en-GB"/>
        </w:rPr>
      </w:pPr>
      <w:r w:rsidRPr="00877A84">
        <w:rPr>
          <w:rFonts w:ascii="Arial" w:hAnsi="Arial" w:cs="Arial"/>
          <w:sz w:val="20"/>
          <w:szCs w:val="20"/>
          <w:lang w:val="en-GB"/>
        </w:rPr>
        <w:t xml:space="preserve">Basically, the definition of Soft and NA resources as in TS 38.213 </w:t>
      </w:r>
      <w:r w:rsidR="009F3F96">
        <w:rPr>
          <w:rFonts w:ascii="Arial" w:hAnsi="Arial" w:cs="Arial"/>
          <w:sz w:val="20"/>
          <w:szCs w:val="20"/>
          <w:lang w:val="en-GB"/>
        </w:rPr>
        <w:fldChar w:fldCharType="begin"/>
      </w:r>
      <w:r w:rsidR="009F3F96">
        <w:rPr>
          <w:rFonts w:ascii="Arial" w:hAnsi="Arial" w:cs="Arial"/>
          <w:sz w:val="20"/>
          <w:szCs w:val="20"/>
          <w:lang w:val="en-GB"/>
        </w:rPr>
        <w:instrText xml:space="preserve"> REF _Ref71662548 \r \h </w:instrText>
      </w:r>
      <w:r w:rsidR="009F3F96">
        <w:rPr>
          <w:rFonts w:ascii="Arial" w:hAnsi="Arial" w:cs="Arial"/>
          <w:sz w:val="20"/>
          <w:szCs w:val="20"/>
          <w:lang w:val="en-GB"/>
        </w:rPr>
      </w:r>
      <w:r w:rsidR="009F3F96">
        <w:rPr>
          <w:rFonts w:ascii="Arial" w:hAnsi="Arial" w:cs="Arial"/>
          <w:sz w:val="20"/>
          <w:szCs w:val="20"/>
          <w:lang w:val="en-GB"/>
        </w:rPr>
        <w:fldChar w:fldCharType="separate"/>
      </w:r>
      <w:r w:rsidR="00301FA3">
        <w:rPr>
          <w:rFonts w:ascii="Arial" w:hAnsi="Arial" w:cs="Arial"/>
          <w:sz w:val="20"/>
          <w:szCs w:val="20"/>
          <w:lang w:val="en-GB"/>
        </w:rPr>
        <w:t>[6]</w:t>
      </w:r>
      <w:r w:rsidR="009F3F96">
        <w:rPr>
          <w:rFonts w:ascii="Arial" w:hAnsi="Arial" w:cs="Arial"/>
          <w:sz w:val="20"/>
          <w:szCs w:val="20"/>
          <w:lang w:val="en-GB"/>
        </w:rPr>
        <w:fldChar w:fldCharType="end"/>
      </w:r>
      <w:r w:rsidR="009F3F96">
        <w:rPr>
          <w:rFonts w:ascii="Arial" w:hAnsi="Arial" w:cs="Arial"/>
          <w:sz w:val="20"/>
          <w:szCs w:val="20"/>
          <w:lang w:val="en-GB"/>
        </w:rPr>
        <w:t xml:space="preserve"> </w:t>
      </w:r>
      <w:r w:rsidRPr="00877A84">
        <w:rPr>
          <w:rFonts w:ascii="Arial" w:hAnsi="Arial" w:cs="Arial"/>
          <w:sz w:val="20"/>
          <w:szCs w:val="20"/>
          <w:lang w:val="en-GB"/>
        </w:rPr>
        <w:t>are still eligible for frequency-domain Soft and NA resources. But further clarification on Hard resource type is needed to also include the frequency-domain Hard resource.</w:t>
      </w:r>
    </w:p>
    <w:bookmarkStart w:id="6" w:name="_Toc68520692"/>
    <w:bookmarkStart w:id="7" w:name="_Toc68520973"/>
    <w:bookmarkEnd w:id="6"/>
    <w:bookmarkEnd w:id="7"/>
    <w:p w14:paraId="5A91F11C" w14:textId="185F6855" w:rsidR="00816BC3" w:rsidRPr="007D2CFB" w:rsidRDefault="00195C13" w:rsidP="00872BF6">
      <w:pPr>
        <w:jc w:val="both"/>
        <w:rPr>
          <w:rFonts w:ascii="Arial" w:hAnsi="Arial" w:cs="Arial"/>
          <w:sz w:val="20"/>
          <w:szCs w:val="20"/>
          <w:lang w:val="en-GB"/>
        </w:rPr>
      </w:pPr>
      <w:r w:rsidRPr="007D2CFB">
        <w:rPr>
          <w:rFonts w:ascii="Arial" w:hAnsi="Arial" w:cs="Arial"/>
          <w:sz w:val="20"/>
          <w:szCs w:val="20"/>
          <w:lang w:val="en-GB"/>
        </w:rPr>
        <w:fldChar w:fldCharType="begin"/>
      </w:r>
      <w:r w:rsidRPr="007D2CFB">
        <w:rPr>
          <w:rFonts w:ascii="Arial" w:hAnsi="Arial" w:cs="Arial"/>
          <w:sz w:val="20"/>
          <w:szCs w:val="20"/>
          <w:lang w:val="en-GB"/>
        </w:rPr>
        <w:instrText xml:space="preserve"> REF _Ref68189164 \h </w:instrText>
      </w:r>
      <w:r w:rsidR="00872BF6" w:rsidRPr="007D2CFB">
        <w:rPr>
          <w:rFonts w:ascii="Arial" w:hAnsi="Arial" w:cs="Arial"/>
          <w:sz w:val="20"/>
          <w:szCs w:val="20"/>
          <w:lang w:val="en-GB"/>
        </w:rPr>
        <w:instrText xml:space="preserve"> \* MERGEFORMAT </w:instrText>
      </w:r>
      <w:r w:rsidRPr="007D2CFB">
        <w:rPr>
          <w:rFonts w:ascii="Arial" w:hAnsi="Arial" w:cs="Arial"/>
          <w:sz w:val="20"/>
          <w:szCs w:val="20"/>
          <w:lang w:val="en-GB"/>
        </w:rPr>
      </w:r>
      <w:r w:rsidRPr="007D2CFB">
        <w:rPr>
          <w:rFonts w:ascii="Arial" w:hAnsi="Arial" w:cs="Arial"/>
          <w:sz w:val="20"/>
          <w:szCs w:val="20"/>
          <w:lang w:val="en-GB"/>
        </w:rPr>
        <w:fldChar w:fldCharType="separate"/>
      </w:r>
      <w:r w:rsidR="00301FA3" w:rsidRPr="00301FA3">
        <w:rPr>
          <w:rFonts w:ascii="Arial" w:hAnsi="Arial" w:cs="Arial"/>
          <w:sz w:val="20"/>
          <w:szCs w:val="20"/>
          <w:lang w:val="en-GB"/>
        </w:rPr>
        <w:t xml:space="preserve">Figure </w:t>
      </w:r>
      <w:r w:rsidR="00301FA3" w:rsidRPr="00301FA3">
        <w:rPr>
          <w:rFonts w:ascii="Arial" w:hAnsi="Arial" w:cs="Arial"/>
          <w:noProof/>
          <w:sz w:val="20"/>
          <w:szCs w:val="20"/>
          <w:lang w:val="en-GB"/>
        </w:rPr>
        <w:t>1</w:t>
      </w:r>
      <w:r w:rsidRPr="007D2CFB">
        <w:rPr>
          <w:rFonts w:ascii="Arial" w:hAnsi="Arial" w:cs="Arial"/>
          <w:sz w:val="20"/>
          <w:szCs w:val="20"/>
          <w:lang w:val="en-GB"/>
        </w:rPr>
        <w:fldChar w:fldCharType="end"/>
      </w:r>
      <w:r w:rsidRPr="007D2CFB">
        <w:rPr>
          <w:rFonts w:ascii="Arial" w:hAnsi="Arial" w:cs="Arial"/>
          <w:sz w:val="20"/>
          <w:szCs w:val="20"/>
          <w:lang w:val="en-GB"/>
        </w:rPr>
        <w:t xml:space="preserve"> </w:t>
      </w:r>
      <w:r w:rsidR="00816BC3" w:rsidRPr="007D2CFB">
        <w:rPr>
          <w:rFonts w:ascii="Arial" w:hAnsi="Arial" w:cs="Arial"/>
          <w:sz w:val="20"/>
          <w:szCs w:val="20"/>
          <w:lang w:val="en-GB"/>
        </w:rPr>
        <w:t xml:space="preserve">exemplifies FDM configurations for 4 DL slots </w:t>
      </w:r>
      <w:r w:rsidR="00443D1C" w:rsidRPr="007D2CFB">
        <w:rPr>
          <w:rFonts w:ascii="Arial" w:hAnsi="Arial" w:cs="Arial"/>
          <w:sz w:val="20"/>
          <w:szCs w:val="20"/>
          <w:lang w:val="en-GB"/>
        </w:rPr>
        <w:t>and</w:t>
      </w:r>
      <w:r w:rsidR="00816BC3" w:rsidRPr="007D2CFB">
        <w:rPr>
          <w:rFonts w:ascii="Arial" w:hAnsi="Arial" w:cs="Arial"/>
          <w:sz w:val="20"/>
          <w:szCs w:val="20"/>
          <w:lang w:val="en-GB"/>
        </w:rPr>
        <w:t xml:space="preserve"> 1 UL slot. The first 2 DL slots have the same frequency domain configuration which allocates more resource to IAB-DU operation. In the third slot the resource is entirely allocated to the IAB-MT operation, while in the fourth DL slot, the resource is provided only to IAB-DU operation.</w:t>
      </w:r>
      <w:r w:rsidR="001054C0" w:rsidRPr="007D2CFB">
        <w:rPr>
          <w:rFonts w:ascii="Arial" w:hAnsi="Arial" w:cs="Arial"/>
          <w:sz w:val="20"/>
          <w:szCs w:val="20"/>
          <w:lang w:val="en-GB"/>
        </w:rPr>
        <w:t xml:space="preserve"> The reason for this could, e.g., be to separate DL access and backhaul traffic.</w:t>
      </w:r>
      <w:r w:rsidR="00694B37" w:rsidRPr="007D2CFB">
        <w:rPr>
          <w:rFonts w:ascii="Arial" w:hAnsi="Arial" w:cs="Arial"/>
          <w:sz w:val="20"/>
          <w:szCs w:val="20"/>
          <w:lang w:val="en-GB"/>
        </w:rPr>
        <w:t xml:space="preserve"> </w:t>
      </w:r>
      <w:r w:rsidR="00816BC3" w:rsidRPr="007D2CFB">
        <w:rPr>
          <w:rFonts w:ascii="Arial" w:hAnsi="Arial" w:cs="Arial"/>
          <w:sz w:val="20"/>
          <w:szCs w:val="20"/>
          <w:lang w:val="en-GB"/>
        </w:rPr>
        <w:t xml:space="preserve">Finally, the UL slot is configured with </w:t>
      </w:r>
      <w:r w:rsidR="003645A6">
        <w:rPr>
          <w:rFonts w:ascii="Arial" w:hAnsi="Arial" w:cs="Arial"/>
          <w:sz w:val="20"/>
          <w:szCs w:val="20"/>
          <w:lang w:val="en-GB"/>
        </w:rPr>
        <w:t>only</w:t>
      </w:r>
      <w:r w:rsidR="001054C0" w:rsidRPr="007D2CFB">
        <w:rPr>
          <w:rFonts w:ascii="Arial" w:hAnsi="Arial" w:cs="Arial"/>
          <w:sz w:val="20"/>
          <w:szCs w:val="20"/>
          <w:lang w:val="en-GB"/>
        </w:rPr>
        <w:t xml:space="preserve"> </w:t>
      </w:r>
      <w:r w:rsidR="00816BC3" w:rsidRPr="007D2CFB">
        <w:rPr>
          <w:rFonts w:ascii="Arial" w:hAnsi="Arial" w:cs="Arial"/>
          <w:sz w:val="20"/>
          <w:szCs w:val="20"/>
          <w:lang w:val="en-GB"/>
        </w:rPr>
        <w:t>Hard frequency domain resources.</w:t>
      </w:r>
    </w:p>
    <w:p w14:paraId="2BDBABBF" w14:textId="77777777" w:rsidR="00816BC3" w:rsidRPr="00816BC3" w:rsidRDefault="00816BC3" w:rsidP="00872BF6">
      <w:pPr>
        <w:keepNext/>
        <w:jc w:val="both"/>
        <w:rPr>
          <w:lang w:val="en-GB"/>
        </w:rPr>
      </w:pPr>
    </w:p>
    <w:p w14:paraId="74A7F6C2" w14:textId="2E534CD9" w:rsidR="004E6125" w:rsidRPr="00480211" w:rsidRDefault="008A591A" w:rsidP="00150891">
      <w:pPr>
        <w:keepNext/>
        <w:jc w:val="center"/>
      </w:pPr>
      <w:r>
        <w:rPr>
          <w:noProof/>
        </w:rPr>
        <w:drawing>
          <wp:inline distT="0" distB="0" distL="0" distR="0" wp14:anchorId="4A46E7F7" wp14:editId="6FDA3114">
            <wp:extent cx="5141343" cy="2033815"/>
            <wp:effectExtent l="0" t="0" r="2540" b="0"/>
            <wp:docPr id="8" name="Picture 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176812" cy="2047846"/>
                    </a:xfrm>
                    <a:prstGeom prst="rect">
                      <a:avLst/>
                    </a:prstGeom>
                  </pic:spPr>
                </pic:pic>
              </a:graphicData>
            </a:graphic>
          </wp:inline>
        </w:drawing>
      </w:r>
    </w:p>
    <w:p w14:paraId="4E374FE5" w14:textId="63105B9D" w:rsidR="00816BC3" w:rsidRPr="007B7A90" w:rsidRDefault="00816BC3" w:rsidP="006740AE">
      <w:pPr>
        <w:pStyle w:val="Caption"/>
        <w:jc w:val="both"/>
        <w:rPr>
          <w:rFonts w:ascii="Arial" w:hAnsi="Arial" w:cs="Arial"/>
          <w:sz w:val="20"/>
          <w:szCs w:val="20"/>
          <w:lang w:val="en-GB"/>
        </w:rPr>
      </w:pPr>
      <w:bookmarkStart w:id="8" w:name="_Ref68189164"/>
      <w:r w:rsidRPr="007B7A90">
        <w:rPr>
          <w:lang w:val="en-GB"/>
        </w:rPr>
        <w:t xml:space="preserve">Figure </w:t>
      </w:r>
      <w:r w:rsidRPr="00480211">
        <w:fldChar w:fldCharType="begin"/>
      </w:r>
      <w:r w:rsidRPr="007B7A90">
        <w:rPr>
          <w:lang w:val="en-GB"/>
        </w:rPr>
        <w:instrText xml:space="preserve"> SEQ Figure \* ARABIC </w:instrText>
      </w:r>
      <w:r w:rsidRPr="00480211">
        <w:fldChar w:fldCharType="separate"/>
      </w:r>
      <w:r w:rsidR="00301FA3">
        <w:rPr>
          <w:noProof/>
          <w:lang w:val="en-GB"/>
        </w:rPr>
        <w:t>1</w:t>
      </w:r>
      <w:r w:rsidRPr="00480211">
        <w:fldChar w:fldCharType="end"/>
      </w:r>
      <w:bookmarkEnd w:id="8"/>
      <w:r w:rsidRPr="007B7A90">
        <w:rPr>
          <w:lang w:val="en-GB"/>
        </w:rPr>
        <w:t>: Illustration of FDM operations for different slots at one IAB-node.</w:t>
      </w:r>
    </w:p>
    <w:p w14:paraId="74EDE407" w14:textId="04F02AF6" w:rsidR="00F74F17" w:rsidRPr="007D2CFB" w:rsidRDefault="00F74F17" w:rsidP="00872BF6">
      <w:pPr>
        <w:tabs>
          <w:tab w:val="left" w:pos="594"/>
        </w:tabs>
        <w:jc w:val="both"/>
        <w:rPr>
          <w:rFonts w:ascii="Arial" w:hAnsi="Arial" w:cs="Arial"/>
          <w:sz w:val="20"/>
          <w:szCs w:val="20"/>
          <w:lang w:val="en-GB"/>
        </w:rPr>
      </w:pPr>
      <w:r w:rsidRPr="007D2CFB">
        <w:rPr>
          <w:rFonts w:ascii="Arial" w:hAnsi="Arial" w:cs="Arial"/>
          <w:sz w:val="20"/>
          <w:szCs w:val="20"/>
          <w:lang w:val="en-GB"/>
        </w:rPr>
        <w:t>An</w:t>
      </w:r>
      <w:r w:rsidR="009E2CB6" w:rsidRPr="007D2CFB">
        <w:rPr>
          <w:rFonts w:ascii="Arial" w:hAnsi="Arial" w:cs="Arial"/>
          <w:sz w:val="20"/>
          <w:szCs w:val="20"/>
          <w:lang w:val="en-GB"/>
        </w:rPr>
        <w:t>other</w:t>
      </w:r>
      <w:r w:rsidRPr="007D2CFB">
        <w:rPr>
          <w:rFonts w:ascii="Arial" w:hAnsi="Arial" w:cs="Arial"/>
          <w:sz w:val="20"/>
          <w:szCs w:val="20"/>
          <w:lang w:val="en-GB"/>
        </w:rPr>
        <w:t xml:space="preserve"> </w:t>
      </w:r>
      <w:r w:rsidR="003E49AC" w:rsidRPr="007D2CFB">
        <w:rPr>
          <w:rFonts w:ascii="Arial" w:hAnsi="Arial" w:cs="Arial"/>
          <w:sz w:val="20"/>
          <w:szCs w:val="20"/>
          <w:lang w:val="en-GB"/>
        </w:rPr>
        <w:t>implication</w:t>
      </w:r>
      <w:r w:rsidRPr="007D2CFB">
        <w:rPr>
          <w:rFonts w:ascii="Arial" w:hAnsi="Arial" w:cs="Arial"/>
          <w:sz w:val="20"/>
          <w:szCs w:val="20"/>
          <w:lang w:val="en-GB"/>
        </w:rPr>
        <w:t xml:space="preserve"> of</w:t>
      </w:r>
      <w:r w:rsidR="003E49AC" w:rsidRPr="007D2CFB">
        <w:rPr>
          <w:rFonts w:ascii="Arial" w:hAnsi="Arial" w:cs="Arial"/>
          <w:sz w:val="20"/>
          <w:szCs w:val="20"/>
          <w:lang w:val="en-GB"/>
        </w:rPr>
        <w:t xml:space="preserve"> the </w:t>
      </w:r>
      <w:r w:rsidRPr="007D2CFB">
        <w:rPr>
          <w:rFonts w:ascii="Arial" w:hAnsi="Arial" w:cs="Arial"/>
          <w:sz w:val="20"/>
          <w:szCs w:val="20"/>
          <w:lang w:val="en-GB"/>
        </w:rPr>
        <w:t>above de</w:t>
      </w:r>
      <w:r w:rsidR="003E49AC" w:rsidRPr="007D2CFB">
        <w:rPr>
          <w:rFonts w:ascii="Arial" w:hAnsi="Arial" w:cs="Arial"/>
          <w:sz w:val="20"/>
          <w:szCs w:val="20"/>
          <w:lang w:val="en-GB"/>
        </w:rPr>
        <w:t>finition</w:t>
      </w:r>
      <w:r w:rsidRPr="007D2CFB">
        <w:rPr>
          <w:rFonts w:ascii="Arial" w:hAnsi="Arial" w:cs="Arial"/>
          <w:sz w:val="20"/>
          <w:szCs w:val="20"/>
          <w:lang w:val="en-GB"/>
        </w:rPr>
        <w:t xml:space="preserve"> of </w:t>
      </w:r>
      <w:r w:rsidR="003E49AC" w:rsidRPr="007D2CFB">
        <w:rPr>
          <w:rFonts w:ascii="Arial" w:hAnsi="Arial" w:cs="Arial"/>
          <w:sz w:val="20"/>
          <w:szCs w:val="20"/>
          <w:lang w:val="en-GB"/>
        </w:rPr>
        <w:t xml:space="preserve">frequency domain </w:t>
      </w:r>
      <w:r w:rsidRPr="007D2CFB">
        <w:rPr>
          <w:rFonts w:ascii="Arial" w:hAnsi="Arial" w:cs="Arial"/>
          <w:sz w:val="20"/>
          <w:szCs w:val="20"/>
          <w:lang w:val="en-GB"/>
        </w:rPr>
        <w:t>H/S/NA is illustrated in</w:t>
      </w:r>
      <w:r w:rsidR="004C54C8" w:rsidRPr="007D2CFB">
        <w:rPr>
          <w:rFonts w:ascii="Arial" w:hAnsi="Arial" w:cs="Arial"/>
          <w:sz w:val="20"/>
          <w:szCs w:val="20"/>
          <w:lang w:val="en-GB"/>
        </w:rPr>
        <w:t xml:space="preserve"> </w:t>
      </w:r>
      <w:r w:rsidR="004C54C8" w:rsidRPr="007D2CFB">
        <w:rPr>
          <w:rFonts w:ascii="Arial" w:hAnsi="Arial" w:cs="Arial"/>
          <w:sz w:val="20"/>
          <w:szCs w:val="20"/>
        </w:rPr>
        <w:fldChar w:fldCharType="begin"/>
      </w:r>
      <w:r w:rsidR="004C54C8" w:rsidRPr="007D2CFB">
        <w:rPr>
          <w:rFonts w:ascii="Arial" w:hAnsi="Arial" w:cs="Arial"/>
          <w:sz w:val="20"/>
          <w:szCs w:val="20"/>
          <w:lang w:val="en-GB"/>
        </w:rPr>
        <w:instrText xml:space="preserve"> REF _Ref67320310 \h </w:instrText>
      </w:r>
      <w:r w:rsidR="00872BF6" w:rsidRPr="007D2CFB">
        <w:rPr>
          <w:rFonts w:ascii="Arial" w:hAnsi="Arial" w:cs="Arial"/>
          <w:sz w:val="20"/>
          <w:szCs w:val="20"/>
          <w:lang w:val="en-GB"/>
        </w:rPr>
        <w:instrText xml:space="preserve"> \* MERGEFORMAT </w:instrText>
      </w:r>
      <w:r w:rsidR="004C54C8" w:rsidRPr="007D2CFB">
        <w:rPr>
          <w:rFonts w:ascii="Arial" w:hAnsi="Arial" w:cs="Arial"/>
          <w:sz w:val="20"/>
          <w:szCs w:val="20"/>
        </w:rPr>
      </w:r>
      <w:r w:rsidR="004C54C8" w:rsidRPr="007D2CFB">
        <w:rPr>
          <w:rFonts w:ascii="Arial" w:hAnsi="Arial" w:cs="Arial"/>
          <w:sz w:val="20"/>
          <w:szCs w:val="20"/>
        </w:rPr>
        <w:fldChar w:fldCharType="separate"/>
      </w:r>
      <w:r w:rsidR="00301FA3" w:rsidRPr="00301FA3">
        <w:rPr>
          <w:rFonts w:ascii="Arial" w:hAnsi="Arial" w:cs="Arial"/>
          <w:sz w:val="20"/>
          <w:szCs w:val="20"/>
          <w:lang w:val="en-GB"/>
        </w:rPr>
        <w:t xml:space="preserve">Figure </w:t>
      </w:r>
      <w:r w:rsidR="00301FA3" w:rsidRPr="00301FA3">
        <w:rPr>
          <w:rFonts w:ascii="Arial" w:hAnsi="Arial" w:cs="Arial"/>
          <w:noProof/>
          <w:sz w:val="20"/>
          <w:szCs w:val="20"/>
          <w:lang w:val="en-GB"/>
        </w:rPr>
        <w:t>2</w:t>
      </w:r>
      <w:r w:rsidR="004C54C8" w:rsidRPr="007D2CFB">
        <w:rPr>
          <w:rFonts w:ascii="Arial" w:hAnsi="Arial" w:cs="Arial"/>
          <w:sz w:val="20"/>
          <w:szCs w:val="20"/>
        </w:rPr>
        <w:fldChar w:fldCharType="end"/>
      </w:r>
      <w:r w:rsidRPr="007D2CFB">
        <w:rPr>
          <w:rFonts w:ascii="Arial" w:hAnsi="Arial" w:cs="Arial"/>
          <w:sz w:val="20"/>
          <w:szCs w:val="20"/>
          <w:lang w:val="en-GB"/>
        </w:rPr>
        <w:t>. The blue shaded RBGs are the ones configured to be used either by IAB-MT or IAB-DU. If IAB-DU uses RBG</w:t>
      </w:r>
      <w:r w:rsidR="006D78EF" w:rsidRPr="007D2CFB">
        <w:rPr>
          <w:rFonts w:ascii="Arial" w:hAnsi="Arial" w:cs="Arial"/>
          <w:sz w:val="20"/>
          <w:szCs w:val="20"/>
          <w:lang w:val="en-GB"/>
        </w:rPr>
        <w:t>2</w:t>
      </w:r>
      <w:r w:rsidRPr="007D2CFB">
        <w:rPr>
          <w:rFonts w:ascii="Arial" w:hAnsi="Arial" w:cs="Arial"/>
          <w:sz w:val="20"/>
          <w:szCs w:val="20"/>
          <w:lang w:val="en-GB"/>
        </w:rPr>
        <w:t xml:space="preserve"> and IAB-MT uses RBG</w:t>
      </w:r>
      <w:r w:rsidR="006D78EF" w:rsidRPr="007D2CFB">
        <w:rPr>
          <w:rFonts w:ascii="Arial" w:hAnsi="Arial" w:cs="Arial"/>
          <w:sz w:val="20"/>
          <w:szCs w:val="20"/>
          <w:lang w:val="en-GB"/>
        </w:rPr>
        <w:t>3</w:t>
      </w:r>
      <w:r w:rsidRPr="007D2CFB">
        <w:rPr>
          <w:rFonts w:ascii="Arial" w:hAnsi="Arial" w:cs="Arial"/>
          <w:sz w:val="20"/>
          <w:szCs w:val="20"/>
          <w:lang w:val="en-GB"/>
        </w:rPr>
        <w:t xml:space="preserve"> simultaneously, they may interfere with each other. Hence, the IAB-DU reserves multiple subcarriers at the upper edge of RBG</w:t>
      </w:r>
      <w:r w:rsidR="006D78EF" w:rsidRPr="007D2CFB">
        <w:rPr>
          <w:rFonts w:ascii="Arial" w:hAnsi="Arial" w:cs="Arial"/>
          <w:sz w:val="20"/>
          <w:szCs w:val="20"/>
          <w:lang w:val="en-GB"/>
        </w:rPr>
        <w:t>2</w:t>
      </w:r>
      <w:r w:rsidRPr="007D2CFB">
        <w:rPr>
          <w:rFonts w:ascii="Arial" w:hAnsi="Arial" w:cs="Arial"/>
          <w:sz w:val="20"/>
          <w:szCs w:val="20"/>
          <w:lang w:val="en-GB"/>
        </w:rPr>
        <w:t xml:space="preserve"> to avoid such interference.</w:t>
      </w:r>
    </w:p>
    <w:p w14:paraId="2CF4DD68" w14:textId="350C3FDF" w:rsidR="00B53FB7" w:rsidRPr="007D2CFB" w:rsidRDefault="00B53FB7" w:rsidP="00D42AEC">
      <w:pPr>
        <w:tabs>
          <w:tab w:val="left" w:pos="594"/>
        </w:tabs>
        <w:jc w:val="both"/>
        <w:rPr>
          <w:rFonts w:ascii="Arial" w:hAnsi="Arial" w:cs="Arial"/>
          <w:sz w:val="20"/>
          <w:szCs w:val="20"/>
          <w:lang w:val="en-GB"/>
        </w:rPr>
      </w:pPr>
      <w:r w:rsidRPr="007D2CFB">
        <w:rPr>
          <w:rFonts w:ascii="Arial" w:hAnsi="Arial" w:cs="Arial"/>
          <w:sz w:val="20"/>
          <w:szCs w:val="20"/>
          <w:lang w:val="en-GB"/>
        </w:rPr>
        <w:t xml:space="preserve">Guard bands/subcarriers </w:t>
      </w:r>
      <w:r w:rsidRPr="007D2CFB">
        <w:rPr>
          <w:rFonts w:ascii="Arial" w:hAnsi="Arial" w:cs="Arial"/>
          <w:i/>
          <w:sz w:val="20"/>
          <w:szCs w:val="20"/>
          <w:lang w:val="en-GB"/>
        </w:rPr>
        <w:t>may</w:t>
      </w:r>
      <w:r w:rsidRPr="007D2CFB">
        <w:rPr>
          <w:rFonts w:ascii="Arial" w:hAnsi="Arial" w:cs="Arial"/>
          <w:sz w:val="20"/>
          <w:szCs w:val="20"/>
          <w:lang w:val="en-GB"/>
        </w:rPr>
        <w:t xml:space="preserve"> be needed for </w:t>
      </w:r>
      <w:r w:rsidR="001F1FDB" w:rsidRPr="007D2CFB">
        <w:rPr>
          <w:rFonts w:ascii="Arial" w:hAnsi="Arial" w:cs="Arial"/>
          <w:sz w:val="20"/>
          <w:szCs w:val="20"/>
          <w:lang w:val="en-GB"/>
        </w:rPr>
        <w:t>IAB-node</w:t>
      </w:r>
      <w:r w:rsidRPr="007D2CFB">
        <w:rPr>
          <w:rFonts w:ascii="Arial" w:hAnsi="Arial" w:cs="Arial"/>
          <w:sz w:val="20"/>
          <w:szCs w:val="20"/>
          <w:lang w:val="en-GB"/>
        </w:rPr>
        <w:t>s with separate MT and DU front ends or if IAB-MT power control is introduced such that the IAB-MT is affected negatively by leakage from IAB-DU associated transmit signals, but even for such architectures</w:t>
      </w:r>
      <w:r w:rsidR="00F63F23" w:rsidRPr="007D2CFB">
        <w:rPr>
          <w:rFonts w:ascii="Arial" w:hAnsi="Arial" w:cs="Arial"/>
          <w:sz w:val="20"/>
          <w:szCs w:val="20"/>
          <w:lang w:val="en-GB"/>
        </w:rPr>
        <w:t xml:space="preserve"> or some configuration</w:t>
      </w:r>
      <w:r w:rsidRPr="007D2CFB">
        <w:rPr>
          <w:rFonts w:ascii="Arial" w:hAnsi="Arial" w:cs="Arial"/>
          <w:sz w:val="20"/>
          <w:szCs w:val="20"/>
          <w:lang w:val="en-GB"/>
        </w:rPr>
        <w:t xml:space="preserve"> that may not necessarily be the case. Even if guard bands are needed, a properly configured network would only require one such band, significantly reducing overhead. In large BW carriers, the </w:t>
      </w:r>
      <w:r w:rsidR="00D27532" w:rsidRPr="007D2CFB">
        <w:rPr>
          <w:rFonts w:ascii="Arial" w:hAnsi="Arial" w:cs="Arial"/>
          <w:sz w:val="20"/>
          <w:szCs w:val="20"/>
          <w:lang w:val="en-GB"/>
        </w:rPr>
        <w:t>loss from introducing such a guard band is negligible</w:t>
      </w:r>
      <w:r w:rsidRPr="007D2CFB">
        <w:rPr>
          <w:rFonts w:ascii="Arial" w:hAnsi="Arial" w:cs="Arial"/>
          <w:sz w:val="20"/>
          <w:szCs w:val="20"/>
          <w:lang w:val="en-GB"/>
        </w:rPr>
        <w:t>.</w:t>
      </w:r>
    </w:p>
    <w:p w14:paraId="2B7D26C6" w14:textId="1CA17AE9" w:rsidR="00E21B49" w:rsidRPr="00095D3C" w:rsidRDefault="006D78EF" w:rsidP="006740AE">
      <w:pPr>
        <w:keepNext/>
        <w:tabs>
          <w:tab w:val="left" w:pos="594"/>
        </w:tabs>
        <w:jc w:val="both"/>
      </w:pPr>
      <w:r>
        <w:rPr>
          <w:noProof/>
        </w:rPr>
        <w:drawing>
          <wp:inline distT="0" distB="0" distL="0" distR="0" wp14:anchorId="47027E25" wp14:editId="308F1B39">
            <wp:extent cx="5213292" cy="2156926"/>
            <wp:effectExtent l="0" t="0" r="0" b="0"/>
            <wp:docPr id="7" name="Picture 7"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9">
                      <a:extLst>
                        <a:ext uri="{28A0092B-C50C-407E-A947-70E740481C1C}">
                          <a14:useLocalDpi xmlns:a14="http://schemas.microsoft.com/office/drawing/2010/main" val="0"/>
                        </a:ext>
                      </a:extLst>
                    </a:blip>
                    <a:stretch>
                      <a:fillRect/>
                    </a:stretch>
                  </pic:blipFill>
                  <pic:spPr>
                    <a:xfrm>
                      <a:off x="0" y="0"/>
                      <a:ext cx="5213292" cy="2156926"/>
                    </a:xfrm>
                    <a:prstGeom prst="rect">
                      <a:avLst/>
                    </a:prstGeom>
                  </pic:spPr>
                </pic:pic>
              </a:graphicData>
            </a:graphic>
          </wp:inline>
        </w:drawing>
      </w:r>
    </w:p>
    <w:p w14:paraId="0A568F77" w14:textId="58947763" w:rsidR="009066C9" w:rsidRPr="00FF75CD" w:rsidRDefault="00E21B49" w:rsidP="006740AE">
      <w:pPr>
        <w:pStyle w:val="Caption"/>
        <w:jc w:val="both"/>
        <w:rPr>
          <w:lang w:val="en-GB"/>
        </w:rPr>
      </w:pPr>
      <w:bookmarkStart w:id="9" w:name="_Ref67320310"/>
      <w:r w:rsidRPr="007B7A90">
        <w:rPr>
          <w:lang w:val="en-GB"/>
        </w:rPr>
        <w:t xml:space="preserve">Figure </w:t>
      </w:r>
      <w:r w:rsidRPr="00095D3C">
        <w:fldChar w:fldCharType="begin"/>
      </w:r>
      <w:r w:rsidRPr="007B7A90">
        <w:rPr>
          <w:lang w:val="en-GB"/>
        </w:rPr>
        <w:instrText xml:space="preserve"> SEQ Figure \* ARABIC </w:instrText>
      </w:r>
      <w:r w:rsidRPr="00095D3C">
        <w:fldChar w:fldCharType="separate"/>
      </w:r>
      <w:r w:rsidR="00301FA3">
        <w:rPr>
          <w:noProof/>
          <w:lang w:val="en-GB"/>
        </w:rPr>
        <w:t>2</w:t>
      </w:r>
      <w:r w:rsidRPr="00095D3C">
        <w:fldChar w:fldCharType="end"/>
      </w:r>
      <w:bookmarkEnd w:id="9"/>
      <w:r w:rsidRPr="007B7A90">
        <w:rPr>
          <w:lang w:val="en-GB"/>
        </w:rPr>
        <w:t xml:space="preserve">: Illustration of resource usage of frequency-domain H/S/NA. </w:t>
      </w:r>
      <w:r w:rsidRPr="00FF75CD">
        <w:rPr>
          <w:lang w:val="en-GB"/>
        </w:rPr>
        <w:t>The RBGs are IAB-RBGs.</w:t>
      </w:r>
    </w:p>
    <w:p w14:paraId="148A3700" w14:textId="524DB1C1" w:rsidR="00050266" w:rsidRPr="00FF75CD" w:rsidRDefault="00BA463F" w:rsidP="00872BF6">
      <w:pPr>
        <w:jc w:val="both"/>
        <w:rPr>
          <w:rFonts w:ascii="Arial" w:hAnsi="Arial" w:cs="Arial"/>
          <w:sz w:val="20"/>
          <w:szCs w:val="20"/>
          <w:lang w:val="en-GB" w:eastAsia="en-GB"/>
        </w:rPr>
      </w:pPr>
      <w:r w:rsidRPr="00FF75CD">
        <w:rPr>
          <w:rFonts w:ascii="Arial" w:hAnsi="Arial" w:cs="Arial"/>
          <w:sz w:val="20"/>
          <w:szCs w:val="20"/>
          <w:lang w:val="en-GB" w:eastAsia="en-GB"/>
        </w:rPr>
        <w:lastRenderedPageBreak/>
        <w:t xml:space="preserve">A further rationale for allocating the guard band within Hard or S-IA resources is that the </w:t>
      </w:r>
      <w:r w:rsidR="00247DC2" w:rsidRPr="00FF75CD">
        <w:rPr>
          <w:rFonts w:ascii="Arial" w:hAnsi="Arial" w:cs="Arial"/>
          <w:sz w:val="20"/>
          <w:szCs w:val="20"/>
          <w:lang w:val="en-GB" w:eastAsia="en-GB"/>
        </w:rPr>
        <w:t xml:space="preserve">control of the </w:t>
      </w:r>
      <w:r w:rsidRPr="00FF75CD">
        <w:rPr>
          <w:rFonts w:ascii="Arial" w:hAnsi="Arial" w:cs="Arial"/>
          <w:sz w:val="20"/>
          <w:szCs w:val="20"/>
          <w:lang w:val="en-GB" w:eastAsia="en-GB"/>
        </w:rPr>
        <w:t xml:space="preserve">guard band </w:t>
      </w:r>
      <w:r w:rsidR="00F844E1" w:rsidRPr="00FF75CD">
        <w:rPr>
          <w:rFonts w:ascii="Arial" w:hAnsi="Arial" w:cs="Arial"/>
          <w:sz w:val="20"/>
          <w:szCs w:val="20"/>
          <w:lang w:val="en-GB" w:eastAsia="en-GB"/>
        </w:rPr>
        <w:t xml:space="preserve">is entirely contained within the </w:t>
      </w:r>
      <w:r w:rsidR="001F1FDB">
        <w:rPr>
          <w:rFonts w:ascii="Arial" w:hAnsi="Arial" w:cs="Arial"/>
          <w:sz w:val="20"/>
          <w:szCs w:val="20"/>
          <w:lang w:val="en-GB" w:eastAsia="en-GB"/>
        </w:rPr>
        <w:t>IAB-node</w:t>
      </w:r>
      <w:r w:rsidR="00F844E1" w:rsidRPr="00FF75CD">
        <w:rPr>
          <w:rFonts w:ascii="Arial" w:hAnsi="Arial" w:cs="Arial"/>
          <w:sz w:val="20"/>
          <w:szCs w:val="20"/>
          <w:lang w:val="en-GB" w:eastAsia="en-GB"/>
        </w:rPr>
        <w:t xml:space="preserve"> itself. Considering that the guard band may be dynamic, e.g., due to </w:t>
      </w:r>
      <w:r w:rsidR="00247DC2" w:rsidRPr="00FF75CD">
        <w:rPr>
          <w:rFonts w:ascii="Arial" w:hAnsi="Arial" w:cs="Arial"/>
          <w:sz w:val="20"/>
          <w:szCs w:val="20"/>
          <w:lang w:val="en-GB" w:eastAsia="en-GB"/>
        </w:rPr>
        <w:t xml:space="preserve">changes in </w:t>
      </w:r>
      <w:r w:rsidR="00F844E1" w:rsidRPr="00FF75CD">
        <w:rPr>
          <w:rFonts w:ascii="Arial" w:hAnsi="Arial" w:cs="Arial"/>
          <w:sz w:val="20"/>
          <w:szCs w:val="20"/>
          <w:lang w:val="en-GB" w:eastAsia="en-GB"/>
        </w:rPr>
        <w:t xml:space="preserve">relative </w:t>
      </w:r>
      <w:r w:rsidR="00372F40">
        <w:rPr>
          <w:rFonts w:ascii="Arial" w:hAnsi="Arial" w:cs="Arial"/>
          <w:sz w:val="20"/>
          <w:szCs w:val="20"/>
          <w:lang w:val="en-GB" w:eastAsia="en-GB"/>
        </w:rPr>
        <w:t>IAB-</w:t>
      </w:r>
      <w:r w:rsidR="00F844E1" w:rsidRPr="00FF75CD">
        <w:rPr>
          <w:rFonts w:ascii="Arial" w:hAnsi="Arial" w:cs="Arial"/>
          <w:sz w:val="20"/>
          <w:szCs w:val="20"/>
          <w:lang w:val="en-GB" w:eastAsia="en-GB"/>
        </w:rPr>
        <w:t xml:space="preserve">MT and </w:t>
      </w:r>
      <w:r w:rsidR="00372F40">
        <w:rPr>
          <w:rFonts w:ascii="Arial" w:hAnsi="Arial" w:cs="Arial"/>
          <w:sz w:val="20"/>
          <w:szCs w:val="20"/>
          <w:lang w:val="en-GB" w:eastAsia="en-GB"/>
        </w:rPr>
        <w:t>IAB-</w:t>
      </w:r>
      <w:r w:rsidR="00F844E1" w:rsidRPr="00FF75CD">
        <w:rPr>
          <w:rFonts w:ascii="Arial" w:hAnsi="Arial" w:cs="Arial"/>
          <w:sz w:val="20"/>
          <w:szCs w:val="20"/>
          <w:lang w:val="en-GB" w:eastAsia="en-GB"/>
        </w:rPr>
        <w:t>DU transmit power levels</w:t>
      </w:r>
      <w:r w:rsidR="00A90F29">
        <w:rPr>
          <w:rFonts w:ascii="Arial" w:hAnsi="Arial" w:cs="Arial"/>
          <w:sz w:val="20"/>
          <w:szCs w:val="20"/>
          <w:lang w:val="en-GB" w:eastAsia="en-GB"/>
        </w:rPr>
        <w:t xml:space="preserve"> – </w:t>
      </w:r>
      <w:r w:rsidR="006E05CB" w:rsidRPr="00FF75CD">
        <w:rPr>
          <w:rFonts w:ascii="Arial" w:hAnsi="Arial" w:cs="Arial"/>
          <w:sz w:val="20"/>
          <w:szCs w:val="20"/>
          <w:lang w:val="en-GB" w:eastAsia="en-GB"/>
        </w:rPr>
        <w:t>other solutions would likely imply substantial and unnecessary signal</w:t>
      </w:r>
      <w:r w:rsidR="000F1897">
        <w:rPr>
          <w:rFonts w:ascii="Arial" w:hAnsi="Arial" w:cs="Arial"/>
          <w:sz w:val="20"/>
          <w:szCs w:val="20"/>
          <w:lang w:val="en-GB" w:eastAsia="en-GB"/>
        </w:rPr>
        <w:t>l</w:t>
      </w:r>
      <w:r w:rsidR="006E05CB" w:rsidRPr="00FF75CD">
        <w:rPr>
          <w:rFonts w:ascii="Arial" w:hAnsi="Arial" w:cs="Arial"/>
          <w:sz w:val="20"/>
          <w:szCs w:val="20"/>
          <w:lang w:val="en-GB" w:eastAsia="en-GB"/>
        </w:rPr>
        <w:t>ing overhead.</w:t>
      </w:r>
    </w:p>
    <w:p w14:paraId="170D342A" w14:textId="24BFAC5F" w:rsidR="00190B9F" w:rsidRPr="00B4490D" w:rsidRDefault="00190B9F" w:rsidP="007300CA">
      <w:pPr>
        <w:pStyle w:val="Observation"/>
      </w:pPr>
      <w:bookmarkStart w:id="10" w:name="_Toc71663377"/>
      <w:r w:rsidRPr="00B4490D">
        <w:t xml:space="preserve">If the IAB-DU is made responsible to allocating the guard band within Hard or S-IA resources, the control of the guard band is entirely contained within the IAB-node itself. Therefore, no </w:t>
      </w:r>
      <w:r w:rsidRPr="00B4490D">
        <w:rPr>
          <w:lang w:eastAsia="en-US"/>
        </w:rPr>
        <w:t>signal</w:t>
      </w:r>
      <w:r w:rsidR="00F44F62">
        <w:rPr>
          <w:lang w:eastAsia="en-US"/>
        </w:rPr>
        <w:t>l</w:t>
      </w:r>
      <w:r w:rsidRPr="00B4490D">
        <w:rPr>
          <w:lang w:eastAsia="en-US"/>
        </w:rPr>
        <w:t>ing</w:t>
      </w:r>
      <w:r w:rsidRPr="00B4490D">
        <w:t xml:space="preserve"> is required.</w:t>
      </w:r>
      <w:bookmarkEnd w:id="10"/>
    </w:p>
    <w:p w14:paraId="1A025B4B" w14:textId="77777777" w:rsidR="004C1059" w:rsidRDefault="00F74F17" w:rsidP="004C1059">
      <w:pPr>
        <w:pStyle w:val="Proposal"/>
      </w:pPr>
      <w:bookmarkStart w:id="11" w:name="_Toc58832841"/>
      <w:bookmarkStart w:id="12" w:name="_Toc61903476"/>
      <w:bookmarkStart w:id="13" w:name="_Toc71663388"/>
      <w:r w:rsidRPr="00B373E9">
        <w:t xml:space="preserve">If a resource is configured as Hard, the IAB-DU can transmit, receive, or either transmit or receive according to its configuration only if it does not impact the IAB-MT’s </w:t>
      </w:r>
      <w:r w:rsidR="00DC72FA" w:rsidRPr="00B373E9">
        <w:t>act</w:t>
      </w:r>
      <w:r w:rsidR="003B32E0" w:rsidRPr="00B373E9">
        <w:t>u</w:t>
      </w:r>
      <w:r w:rsidR="00DC72FA" w:rsidRPr="00B373E9">
        <w:t xml:space="preserve">al </w:t>
      </w:r>
      <w:r w:rsidRPr="00B373E9">
        <w:t xml:space="preserve">ability to operate </w:t>
      </w:r>
      <w:r w:rsidRPr="00B373E9">
        <w:rPr>
          <w:u w:val="single"/>
        </w:rPr>
        <w:t>in any other</w:t>
      </w:r>
      <w:r w:rsidRPr="00B373E9">
        <w:t xml:space="preserve"> resource according to the configuration of that resource</w:t>
      </w:r>
      <w:r w:rsidRPr="00877A84">
        <w:t>.</w:t>
      </w:r>
      <w:bookmarkEnd w:id="11"/>
      <w:bookmarkEnd w:id="12"/>
      <w:bookmarkEnd w:id="13"/>
    </w:p>
    <w:p w14:paraId="58EDDAF5" w14:textId="34C2389B" w:rsidR="00DC7B59" w:rsidRPr="002C492D" w:rsidRDefault="007F7923" w:rsidP="004C1059">
      <w:pPr>
        <w:pStyle w:val="Proposal"/>
        <w:numPr>
          <w:ilvl w:val="0"/>
          <w:numId w:val="0"/>
        </w:numPr>
        <w:ind w:left="1701"/>
      </w:pPr>
      <w:bookmarkStart w:id="14" w:name="_Toc71663389"/>
      <w:r>
        <w:t xml:space="preserve">FFS: How to address </w:t>
      </w:r>
      <w:r w:rsidR="00BC61DF">
        <w:t xml:space="preserve">the </w:t>
      </w:r>
      <w:r w:rsidRPr="00525928">
        <w:t>Soft</w:t>
      </w:r>
      <w:r w:rsidR="00525928">
        <w:t xml:space="preserve"> </w:t>
      </w:r>
      <w:r w:rsidR="00525928" w:rsidRPr="00525928">
        <w:t xml:space="preserve">Indicated Available </w:t>
      </w:r>
      <w:r w:rsidR="00372F40">
        <w:t>IAB-</w:t>
      </w:r>
      <w:r w:rsidR="00525928" w:rsidRPr="00525928">
        <w:t>DU</w:t>
      </w:r>
      <w:r w:rsidR="00525928">
        <w:t xml:space="preserve"> resources</w:t>
      </w:r>
      <w:r w:rsidR="00BC61DF">
        <w:t>.</w:t>
      </w:r>
      <w:bookmarkEnd w:id="14"/>
    </w:p>
    <w:p w14:paraId="3BEC94EF" w14:textId="454E6692" w:rsidR="00501521" w:rsidRPr="00F72C58" w:rsidRDefault="00032CA1" w:rsidP="00B4490D">
      <w:pPr>
        <w:pStyle w:val="Heading3"/>
        <w:jc w:val="both"/>
      </w:pPr>
      <w:bookmarkStart w:id="15" w:name="_Ref68521754"/>
      <w:r w:rsidRPr="00C75E69">
        <w:t>Coexistence of simultaneous operation and TDM</w:t>
      </w:r>
      <w:bookmarkEnd w:id="15"/>
    </w:p>
    <w:p w14:paraId="7304106A" w14:textId="15F73E71" w:rsidR="004C54C8" w:rsidRPr="00877A84" w:rsidRDefault="00032CA1" w:rsidP="00872BF6">
      <w:pPr>
        <w:jc w:val="both"/>
        <w:rPr>
          <w:rFonts w:ascii="Arial" w:hAnsi="Arial" w:cs="Arial"/>
          <w:sz w:val="20"/>
          <w:szCs w:val="20"/>
          <w:lang w:val="en-GB"/>
        </w:rPr>
      </w:pPr>
      <w:r w:rsidRPr="007B4D83">
        <w:rPr>
          <w:rFonts w:ascii="Arial" w:hAnsi="Arial" w:cs="Arial"/>
          <w:sz w:val="20"/>
          <w:szCs w:val="20"/>
          <w:lang w:val="en-GB"/>
        </w:rPr>
        <w:t xml:space="preserve">When an IAB-node is capable of FDM, it can be configured with frequency-domain H/S/NA as described in </w:t>
      </w:r>
      <w:r w:rsidR="009C526E">
        <w:rPr>
          <w:rFonts w:ascii="Arial" w:hAnsi="Arial" w:cs="Arial"/>
          <w:sz w:val="20"/>
          <w:szCs w:val="20"/>
          <w:lang w:val="en-GB"/>
        </w:rPr>
        <w:t>Sec.</w:t>
      </w:r>
      <w:r w:rsidRPr="007B4D83">
        <w:rPr>
          <w:rFonts w:ascii="Arial" w:hAnsi="Arial" w:cs="Arial"/>
          <w:sz w:val="20"/>
          <w:szCs w:val="20"/>
          <w:lang w:val="en-GB"/>
        </w:rPr>
        <w:t> </w:t>
      </w:r>
      <w:r w:rsidRPr="00095D3C">
        <w:rPr>
          <w:rFonts w:ascii="Arial" w:hAnsi="Arial" w:cs="Arial"/>
          <w:sz w:val="20"/>
          <w:szCs w:val="20"/>
        </w:rPr>
        <w:fldChar w:fldCharType="begin"/>
      </w:r>
      <w:r w:rsidRPr="007B4D83">
        <w:rPr>
          <w:rFonts w:ascii="Arial" w:hAnsi="Arial" w:cs="Arial"/>
          <w:sz w:val="20"/>
          <w:szCs w:val="20"/>
          <w:lang w:val="en-GB"/>
        </w:rPr>
        <w:instrText xml:space="preserve"> REF _Ref58590315 \r \h  \* MERGEFORMAT </w:instrText>
      </w:r>
      <w:r w:rsidRPr="00095D3C">
        <w:rPr>
          <w:rFonts w:ascii="Arial" w:hAnsi="Arial" w:cs="Arial"/>
          <w:sz w:val="20"/>
          <w:szCs w:val="20"/>
        </w:rPr>
      </w:r>
      <w:r w:rsidRPr="00095D3C">
        <w:rPr>
          <w:rFonts w:ascii="Arial" w:hAnsi="Arial" w:cs="Arial"/>
          <w:sz w:val="20"/>
          <w:szCs w:val="20"/>
        </w:rPr>
        <w:fldChar w:fldCharType="separate"/>
      </w:r>
      <w:r w:rsidR="00301FA3">
        <w:rPr>
          <w:rFonts w:ascii="Arial" w:hAnsi="Arial" w:cs="Arial"/>
          <w:sz w:val="20"/>
          <w:szCs w:val="20"/>
          <w:lang w:val="en-GB"/>
        </w:rPr>
        <w:t>2.1.1</w:t>
      </w:r>
      <w:r w:rsidRPr="00095D3C">
        <w:rPr>
          <w:rFonts w:ascii="Arial" w:hAnsi="Arial" w:cs="Arial"/>
          <w:sz w:val="20"/>
          <w:szCs w:val="20"/>
        </w:rPr>
        <w:fldChar w:fldCharType="end"/>
      </w:r>
      <w:r w:rsidRPr="007B4D83">
        <w:rPr>
          <w:rFonts w:ascii="Arial" w:hAnsi="Arial" w:cs="Arial"/>
          <w:sz w:val="20"/>
          <w:szCs w:val="20"/>
          <w:lang w:val="en-GB"/>
        </w:rPr>
        <w:t xml:space="preserve">, which </w:t>
      </w:r>
      <w:r w:rsidR="00967590" w:rsidRPr="007B4D83">
        <w:rPr>
          <w:rFonts w:ascii="Arial" w:hAnsi="Arial" w:cs="Arial"/>
          <w:sz w:val="20"/>
          <w:szCs w:val="20"/>
          <w:lang w:val="en-GB"/>
        </w:rPr>
        <w:t>allows</w:t>
      </w:r>
      <w:r w:rsidRPr="007B4D83">
        <w:rPr>
          <w:rFonts w:ascii="Arial" w:hAnsi="Arial" w:cs="Arial"/>
          <w:sz w:val="20"/>
          <w:szCs w:val="20"/>
          <w:lang w:val="en-GB"/>
        </w:rPr>
        <w:t xml:space="preserve"> </w:t>
      </w:r>
      <w:r w:rsidR="00F946C3" w:rsidRPr="007B4D83">
        <w:rPr>
          <w:rFonts w:ascii="Arial" w:hAnsi="Arial" w:cs="Arial"/>
          <w:sz w:val="20"/>
          <w:szCs w:val="20"/>
          <w:lang w:val="en-GB"/>
        </w:rPr>
        <w:t>increased</w:t>
      </w:r>
      <w:r w:rsidRPr="007B4D83">
        <w:rPr>
          <w:rFonts w:ascii="Arial" w:hAnsi="Arial" w:cs="Arial"/>
          <w:sz w:val="20"/>
          <w:szCs w:val="20"/>
          <w:lang w:val="en-GB"/>
        </w:rPr>
        <w:t xml:space="preserve"> </w:t>
      </w:r>
      <w:r w:rsidR="00967590" w:rsidRPr="007B4D83">
        <w:rPr>
          <w:rFonts w:ascii="Arial" w:hAnsi="Arial" w:cs="Arial"/>
          <w:sz w:val="20"/>
          <w:szCs w:val="20"/>
          <w:lang w:val="en-GB"/>
        </w:rPr>
        <w:t xml:space="preserve">network </w:t>
      </w:r>
      <w:r w:rsidRPr="007B4D83">
        <w:rPr>
          <w:rFonts w:ascii="Arial" w:hAnsi="Arial" w:cs="Arial"/>
          <w:sz w:val="20"/>
          <w:szCs w:val="20"/>
          <w:lang w:val="en-GB"/>
        </w:rPr>
        <w:t>flexibility.</w:t>
      </w:r>
      <w:r w:rsidR="00DC6EA7" w:rsidRPr="007B4D83">
        <w:rPr>
          <w:rFonts w:ascii="Arial" w:hAnsi="Arial" w:cs="Arial"/>
          <w:sz w:val="20"/>
          <w:szCs w:val="20"/>
          <w:lang w:val="en-GB"/>
        </w:rPr>
        <w:t xml:space="preserve"> </w:t>
      </w:r>
      <w:r w:rsidR="00DC6EA7" w:rsidRPr="00877A84">
        <w:rPr>
          <w:rFonts w:ascii="Arial" w:hAnsi="Arial" w:cs="Arial"/>
          <w:sz w:val="20"/>
          <w:szCs w:val="20"/>
          <w:lang w:val="en-GB"/>
        </w:rPr>
        <w:t>Generally speaking, i</w:t>
      </w:r>
      <w:r w:rsidRPr="00877A84">
        <w:rPr>
          <w:rFonts w:ascii="Arial" w:hAnsi="Arial" w:cs="Arial"/>
          <w:sz w:val="20"/>
          <w:szCs w:val="20"/>
          <w:lang w:val="en-GB"/>
        </w:rPr>
        <w:t>t is</w:t>
      </w:r>
      <w:r w:rsidR="00DC6EA7" w:rsidRPr="00877A84">
        <w:rPr>
          <w:rFonts w:ascii="Arial" w:hAnsi="Arial" w:cs="Arial"/>
          <w:sz w:val="20"/>
          <w:szCs w:val="20"/>
          <w:lang w:val="en-GB"/>
        </w:rPr>
        <w:t xml:space="preserve"> </w:t>
      </w:r>
      <w:r w:rsidRPr="00877A84">
        <w:rPr>
          <w:rFonts w:ascii="Arial" w:hAnsi="Arial" w:cs="Arial"/>
          <w:sz w:val="20"/>
          <w:szCs w:val="20"/>
          <w:lang w:val="en-GB"/>
        </w:rPr>
        <w:t>beneficial to have H/S/NA</w:t>
      </w:r>
      <w:r w:rsidR="006B7212" w:rsidRPr="00877A84">
        <w:rPr>
          <w:rFonts w:ascii="Arial" w:hAnsi="Arial" w:cs="Arial"/>
          <w:sz w:val="20"/>
          <w:szCs w:val="20"/>
          <w:lang w:val="en-GB"/>
        </w:rPr>
        <w:t xml:space="preserve"> resources</w:t>
      </w:r>
      <w:r w:rsidRPr="00877A84">
        <w:rPr>
          <w:rFonts w:ascii="Arial" w:hAnsi="Arial" w:cs="Arial"/>
          <w:sz w:val="20"/>
          <w:szCs w:val="20"/>
          <w:lang w:val="en-GB"/>
        </w:rPr>
        <w:t xml:space="preserve"> for an IAB-DU configured based on the multiplexing capability of the IAB-node, which is </w:t>
      </w:r>
      <w:r w:rsidR="00967590" w:rsidRPr="00877A84">
        <w:rPr>
          <w:rFonts w:ascii="Arial" w:hAnsi="Arial" w:cs="Arial"/>
          <w:sz w:val="20"/>
          <w:szCs w:val="20"/>
          <w:lang w:val="en-GB"/>
        </w:rPr>
        <w:t xml:space="preserve">typically </w:t>
      </w:r>
      <w:r w:rsidRPr="00877A84">
        <w:rPr>
          <w:rFonts w:ascii="Arial" w:hAnsi="Arial" w:cs="Arial"/>
          <w:sz w:val="20"/>
          <w:szCs w:val="20"/>
          <w:lang w:val="en-GB"/>
        </w:rPr>
        <w:t xml:space="preserve">provided from the IAB-node to the </w:t>
      </w:r>
      <w:r w:rsidR="00E6365D">
        <w:rPr>
          <w:rFonts w:ascii="Arial" w:hAnsi="Arial" w:cs="Arial"/>
          <w:sz w:val="20"/>
          <w:szCs w:val="20"/>
          <w:lang w:val="en-GB"/>
        </w:rPr>
        <w:t>IAB-</w:t>
      </w:r>
      <w:r w:rsidR="001F1FDB">
        <w:rPr>
          <w:rFonts w:ascii="Arial" w:hAnsi="Arial" w:cs="Arial"/>
          <w:sz w:val="20"/>
          <w:szCs w:val="20"/>
          <w:lang w:val="en-GB"/>
        </w:rPr>
        <w:t>donor-CU</w:t>
      </w:r>
      <w:r w:rsidRPr="00877A84">
        <w:rPr>
          <w:rFonts w:ascii="Arial" w:hAnsi="Arial" w:cs="Arial"/>
          <w:sz w:val="20"/>
          <w:szCs w:val="20"/>
          <w:lang w:val="en-GB"/>
        </w:rPr>
        <w:t xml:space="preserve"> via </w:t>
      </w:r>
      <w:r w:rsidR="00967590" w:rsidRPr="00877A84">
        <w:rPr>
          <w:rFonts w:ascii="Arial" w:hAnsi="Arial" w:cs="Arial"/>
          <w:sz w:val="20"/>
          <w:szCs w:val="20"/>
          <w:lang w:val="en-GB"/>
        </w:rPr>
        <w:t xml:space="preserve">the </w:t>
      </w:r>
      <w:r w:rsidRPr="00877A84">
        <w:rPr>
          <w:rFonts w:ascii="Arial" w:hAnsi="Arial" w:cs="Arial"/>
          <w:sz w:val="20"/>
          <w:szCs w:val="20"/>
          <w:lang w:val="en-GB"/>
        </w:rPr>
        <w:t>F1</w:t>
      </w:r>
      <w:r w:rsidR="00967590" w:rsidRPr="00877A84">
        <w:rPr>
          <w:rFonts w:ascii="Arial" w:hAnsi="Arial" w:cs="Arial"/>
          <w:sz w:val="20"/>
          <w:szCs w:val="20"/>
          <w:lang w:val="en-GB"/>
        </w:rPr>
        <w:t xml:space="preserve"> signalling</w:t>
      </w:r>
      <w:r w:rsidRPr="00877A84">
        <w:rPr>
          <w:rFonts w:ascii="Arial" w:hAnsi="Arial" w:cs="Arial"/>
          <w:sz w:val="20"/>
          <w:szCs w:val="20"/>
          <w:lang w:val="en-GB"/>
        </w:rPr>
        <w:t>.</w:t>
      </w:r>
      <w:r w:rsidR="00DC6EA7" w:rsidRPr="00877A84">
        <w:rPr>
          <w:rFonts w:ascii="Arial" w:hAnsi="Arial" w:cs="Arial"/>
          <w:sz w:val="20"/>
          <w:szCs w:val="20"/>
          <w:lang w:val="en-GB"/>
        </w:rPr>
        <w:t xml:space="preserve"> For example, time-domain H/S is not needed in simultaneous operations since IAB-MT and IAB-DU can use the time-domain resources at the same time. </w:t>
      </w:r>
      <w:r w:rsidR="006B7212" w:rsidRPr="00877A84">
        <w:rPr>
          <w:rFonts w:ascii="Arial" w:hAnsi="Arial" w:cs="Arial"/>
          <w:sz w:val="20"/>
          <w:szCs w:val="20"/>
          <w:lang w:val="en-GB"/>
        </w:rPr>
        <w:t>In an operational network</w:t>
      </w:r>
      <w:r w:rsidR="00B53DD0" w:rsidRPr="00877A84">
        <w:rPr>
          <w:rFonts w:ascii="Arial" w:hAnsi="Arial" w:cs="Arial"/>
          <w:sz w:val="20"/>
          <w:szCs w:val="20"/>
          <w:lang w:val="en-GB"/>
        </w:rPr>
        <w:t>,</w:t>
      </w:r>
      <w:r w:rsidRPr="00877A84">
        <w:rPr>
          <w:rFonts w:ascii="Arial" w:hAnsi="Arial" w:cs="Arial"/>
          <w:sz w:val="20"/>
          <w:szCs w:val="20"/>
          <w:lang w:val="en-GB"/>
        </w:rPr>
        <w:t xml:space="preserve"> the actual multiplexing capability of the IAB-node may change locally and dynamically. Such a change may not be captured by the </w:t>
      </w:r>
      <w:r w:rsidR="00E6365D">
        <w:rPr>
          <w:rFonts w:ascii="Arial" w:hAnsi="Arial" w:cs="Arial"/>
          <w:sz w:val="20"/>
          <w:szCs w:val="20"/>
          <w:lang w:val="en-GB"/>
        </w:rPr>
        <w:t>IAB-</w:t>
      </w:r>
      <w:r w:rsidR="001F1FDB">
        <w:rPr>
          <w:rFonts w:ascii="Arial" w:hAnsi="Arial" w:cs="Arial"/>
          <w:sz w:val="20"/>
          <w:szCs w:val="20"/>
          <w:lang w:val="en-GB"/>
        </w:rPr>
        <w:t>donor-CU</w:t>
      </w:r>
      <w:r w:rsidRPr="00877A84">
        <w:rPr>
          <w:rFonts w:ascii="Arial" w:hAnsi="Arial" w:cs="Arial"/>
          <w:sz w:val="20"/>
          <w:szCs w:val="20"/>
          <w:lang w:val="en-GB"/>
        </w:rPr>
        <w:t xml:space="preserve"> in time. Also, from the system stability, consistency and signal</w:t>
      </w:r>
      <w:r w:rsidR="00A878E6" w:rsidRPr="00877A84">
        <w:rPr>
          <w:rFonts w:ascii="Arial" w:hAnsi="Arial" w:cs="Arial"/>
          <w:sz w:val="20"/>
          <w:szCs w:val="20"/>
          <w:lang w:val="en-GB"/>
        </w:rPr>
        <w:t>l</w:t>
      </w:r>
      <w:r w:rsidRPr="00877A84">
        <w:rPr>
          <w:rFonts w:ascii="Arial" w:hAnsi="Arial" w:cs="Arial"/>
          <w:sz w:val="20"/>
          <w:szCs w:val="20"/>
          <w:lang w:val="en-GB"/>
        </w:rPr>
        <w:t>ing efficiency points-of-view, semi-static resource configuration is not supposed to be changed frequently.</w:t>
      </w:r>
      <w:r w:rsidR="00402480" w:rsidRPr="00877A84">
        <w:rPr>
          <w:rFonts w:ascii="Arial" w:hAnsi="Arial" w:cs="Arial"/>
          <w:sz w:val="20"/>
          <w:szCs w:val="20"/>
          <w:lang w:val="en-GB"/>
        </w:rPr>
        <w:t xml:space="preserve"> I</w:t>
      </w:r>
      <w:r w:rsidRPr="00877A84">
        <w:rPr>
          <w:rFonts w:ascii="Arial" w:hAnsi="Arial" w:cs="Arial"/>
          <w:sz w:val="20"/>
          <w:szCs w:val="20"/>
          <w:lang w:val="en-GB"/>
        </w:rPr>
        <w:t xml:space="preserve">t </w:t>
      </w:r>
      <w:r w:rsidR="006B7212" w:rsidRPr="00877A84">
        <w:rPr>
          <w:rFonts w:ascii="Arial" w:hAnsi="Arial" w:cs="Arial"/>
          <w:sz w:val="20"/>
          <w:szCs w:val="20"/>
          <w:lang w:val="en-GB"/>
        </w:rPr>
        <w:t>could happen</w:t>
      </w:r>
      <w:r w:rsidRPr="00877A84">
        <w:rPr>
          <w:rFonts w:ascii="Arial" w:hAnsi="Arial" w:cs="Arial"/>
          <w:sz w:val="20"/>
          <w:szCs w:val="20"/>
          <w:lang w:val="en-GB"/>
        </w:rPr>
        <w:t xml:space="preserve"> that the semi-static resource configuration becomes inconsistent with the </w:t>
      </w:r>
      <w:r w:rsidR="004148A7" w:rsidRPr="00877A84">
        <w:rPr>
          <w:rFonts w:ascii="Arial" w:hAnsi="Arial" w:cs="Arial"/>
          <w:sz w:val="20"/>
          <w:szCs w:val="20"/>
          <w:lang w:val="en-GB"/>
        </w:rPr>
        <w:t>updated</w:t>
      </w:r>
      <w:r w:rsidRPr="00877A84">
        <w:rPr>
          <w:rFonts w:ascii="Arial" w:hAnsi="Arial" w:cs="Arial"/>
          <w:sz w:val="20"/>
          <w:szCs w:val="20"/>
          <w:lang w:val="en-GB"/>
        </w:rPr>
        <w:t xml:space="preserve"> IAB multiplexing capability, and accordingly the intended H/S/NA configuration cannot be used by the </w:t>
      </w:r>
      <w:r w:rsidR="001F1FDB">
        <w:rPr>
          <w:rFonts w:ascii="Arial" w:hAnsi="Arial" w:cs="Arial"/>
          <w:sz w:val="20"/>
          <w:szCs w:val="20"/>
          <w:lang w:val="en-GB"/>
        </w:rPr>
        <w:t>IAB-node</w:t>
      </w:r>
      <w:r w:rsidRPr="00877A84">
        <w:rPr>
          <w:rFonts w:ascii="Arial" w:hAnsi="Arial" w:cs="Arial"/>
          <w:sz w:val="20"/>
          <w:szCs w:val="20"/>
          <w:lang w:val="en-GB"/>
        </w:rPr>
        <w:t>.</w:t>
      </w:r>
      <w:r w:rsidR="004C54C8" w:rsidRPr="00877A84">
        <w:rPr>
          <w:rFonts w:ascii="Arial" w:hAnsi="Arial" w:cs="Arial"/>
          <w:sz w:val="20"/>
          <w:szCs w:val="20"/>
          <w:lang w:val="en-GB"/>
        </w:rPr>
        <w:t xml:space="preserve"> </w:t>
      </w:r>
      <w:r w:rsidR="00E60516" w:rsidRPr="00877A84">
        <w:rPr>
          <w:rFonts w:ascii="Arial" w:hAnsi="Arial" w:cs="Arial"/>
          <w:sz w:val="20"/>
          <w:szCs w:val="20"/>
          <w:lang w:val="en-GB"/>
        </w:rPr>
        <w:t>For example</w:t>
      </w:r>
      <w:r w:rsidR="002D0CF2" w:rsidRPr="00877A84">
        <w:rPr>
          <w:rFonts w:ascii="Arial" w:hAnsi="Arial" w:cs="Arial"/>
          <w:sz w:val="20"/>
          <w:szCs w:val="20"/>
          <w:lang w:val="en-GB"/>
        </w:rPr>
        <w:t>, w</w:t>
      </w:r>
      <w:r w:rsidRPr="00877A84">
        <w:rPr>
          <w:rFonts w:ascii="Arial" w:hAnsi="Arial" w:cs="Arial"/>
          <w:sz w:val="20"/>
          <w:szCs w:val="20"/>
          <w:lang w:val="en-GB"/>
        </w:rPr>
        <w:t xml:space="preserve">hen the conditions for simultaneous transmission or reception temporarily fail, the IAB-node </w:t>
      </w:r>
      <w:r w:rsidR="00967590" w:rsidRPr="00877A84">
        <w:rPr>
          <w:rFonts w:ascii="Arial" w:hAnsi="Arial" w:cs="Arial"/>
          <w:sz w:val="20"/>
          <w:szCs w:val="20"/>
          <w:lang w:val="en-GB"/>
        </w:rPr>
        <w:t>should fall back and</w:t>
      </w:r>
      <w:r w:rsidRPr="00877A84">
        <w:rPr>
          <w:rFonts w:ascii="Arial" w:hAnsi="Arial" w:cs="Arial"/>
          <w:sz w:val="20"/>
          <w:szCs w:val="20"/>
          <w:lang w:val="en-GB"/>
        </w:rPr>
        <w:t xml:space="preserve"> operate in a TDM mode</w:t>
      </w:r>
      <w:r w:rsidR="00E60516" w:rsidRPr="00877A84">
        <w:rPr>
          <w:rFonts w:ascii="Arial" w:hAnsi="Arial" w:cs="Arial"/>
          <w:sz w:val="20"/>
          <w:szCs w:val="20"/>
          <w:lang w:val="en-GB"/>
        </w:rPr>
        <w:t xml:space="preserve"> smoothly, without causing radio link failure</w:t>
      </w:r>
      <w:r w:rsidRPr="00877A84">
        <w:rPr>
          <w:rFonts w:ascii="Arial" w:hAnsi="Arial" w:cs="Arial"/>
          <w:sz w:val="20"/>
          <w:szCs w:val="20"/>
          <w:lang w:val="en-GB"/>
        </w:rPr>
        <w:t xml:space="preserve">. </w:t>
      </w:r>
      <w:r w:rsidR="00E60516" w:rsidRPr="00877A84">
        <w:rPr>
          <w:rFonts w:ascii="Arial" w:hAnsi="Arial" w:cs="Arial"/>
          <w:sz w:val="20"/>
          <w:szCs w:val="20"/>
          <w:lang w:val="en-GB"/>
        </w:rPr>
        <w:t>I</w:t>
      </w:r>
      <w:r w:rsidRPr="00877A84">
        <w:rPr>
          <w:rFonts w:ascii="Arial" w:hAnsi="Arial" w:cs="Arial"/>
          <w:sz w:val="20"/>
          <w:szCs w:val="20"/>
          <w:lang w:val="en-GB"/>
        </w:rPr>
        <w:t xml:space="preserve">t is </w:t>
      </w:r>
      <w:r w:rsidR="00980885" w:rsidRPr="00877A84">
        <w:rPr>
          <w:rFonts w:ascii="Arial" w:hAnsi="Arial" w:cs="Arial"/>
          <w:sz w:val="20"/>
          <w:szCs w:val="20"/>
          <w:lang w:val="en-GB"/>
        </w:rPr>
        <w:t>therefore useful</w:t>
      </w:r>
      <w:r w:rsidRPr="00877A84">
        <w:rPr>
          <w:rFonts w:ascii="Arial" w:hAnsi="Arial" w:cs="Arial"/>
          <w:sz w:val="20"/>
          <w:szCs w:val="20"/>
          <w:lang w:val="en-GB"/>
        </w:rPr>
        <w:t xml:space="preserve"> to always provide time-domain H/S/NA to the IAB-node even if ”TDM not required” is indicated to the </w:t>
      </w:r>
      <w:r w:rsidR="00E6365D">
        <w:rPr>
          <w:rFonts w:ascii="Arial" w:hAnsi="Arial" w:cs="Arial"/>
          <w:sz w:val="20"/>
          <w:szCs w:val="20"/>
          <w:lang w:val="en-GB"/>
        </w:rPr>
        <w:t>IAB-</w:t>
      </w:r>
      <w:r w:rsidR="001F1FDB">
        <w:rPr>
          <w:rFonts w:ascii="Arial" w:hAnsi="Arial" w:cs="Arial"/>
          <w:sz w:val="20"/>
          <w:szCs w:val="20"/>
          <w:lang w:val="en-GB"/>
        </w:rPr>
        <w:t>donor-CU</w:t>
      </w:r>
      <w:r w:rsidRPr="00877A84">
        <w:rPr>
          <w:rFonts w:ascii="Arial" w:hAnsi="Arial" w:cs="Arial"/>
          <w:sz w:val="20"/>
          <w:szCs w:val="20"/>
          <w:lang w:val="en-GB"/>
        </w:rPr>
        <w:t>.</w:t>
      </w:r>
      <w:r w:rsidR="00131712" w:rsidRPr="00877A84">
        <w:rPr>
          <w:rFonts w:ascii="Arial" w:hAnsi="Arial" w:cs="Arial"/>
          <w:sz w:val="20"/>
          <w:szCs w:val="20"/>
          <w:lang w:val="en-GB"/>
        </w:rPr>
        <w:t xml:space="preserve"> </w:t>
      </w:r>
    </w:p>
    <w:p w14:paraId="7C975D69" w14:textId="23EAF427" w:rsidR="004C54C8" w:rsidRPr="005D1411" w:rsidRDefault="004C54C8" w:rsidP="007300CA">
      <w:pPr>
        <w:pStyle w:val="Proposal"/>
      </w:pPr>
      <w:bookmarkStart w:id="16" w:name="_Toc71663390"/>
      <w:r w:rsidRPr="00877A84">
        <w:t xml:space="preserve">Time-domain H/S/NA configuration is always provided to the IAB-node even if ”TDM not required” is indicated to the </w:t>
      </w:r>
      <w:r w:rsidR="00E6365D">
        <w:t>IAB-</w:t>
      </w:r>
      <w:r w:rsidR="001F1FDB">
        <w:t>donor-CU</w:t>
      </w:r>
      <w:r w:rsidRPr="00877A84">
        <w:t>.</w:t>
      </w:r>
      <w:bookmarkEnd w:id="16"/>
    </w:p>
    <w:p w14:paraId="58007B2C" w14:textId="6238251A" w:rsidR="00637529" w:rsidRPr="00877A84" w:rsidRDefault="002D28C6" w:rsidP="00872BF6">
      <w:pPr>
        <w:jc w:val="both"/>
        <w:rPr>
          <w:rFonts w:ascii="Arial" w:hAnsi="Arial" w:cs="Arial"/>
          <w:sz w:val="20"/>
          <w:szCs w:val="20"/>
          <w:lang w:val="en-GB"/>
        </w:rPr>
      </w:pPr>
      <w:r w:rsidRPr="007B7A90">
        <w:rPr>
          <w:rFonts w:ascii="Arial" w:hAnsi="Arial" w:cs="Arial"/>
          <w:sz w:val="20"/>
          <w:szCs w:val="20"/>
          <w:lang w:val="en-GB"/>
        </w:rPr>
        <w:t xml:space="preserve">Even though an IAB-node is provided with both TDM and FDM </w:t>
      </w:r>
      <w:r w:rsidR="000E4E8E" w:rsidRPr="007B7A90">
        <w:rPr>
          <w:rFonts w:ascii="Arial" w:hAnsi="Arial" w:cs="Arial"/>
          <w:sz w:val="20"/>
          <w:szCs w:val="20"/>
          <w:lang w:val="en-GB"/>
        </w:rPr>
        <w:t xml:space="preserve">resource multiplexing </w:t>
      </w:r>
      <w:r w:rsidRPr="007B7A90">
        <w:rPr>
          <w:rFonts w:ascii="Arial" w:hAnsi="Arial" w:cs="Arial"/>
          <w:sz w:val="20"/>
          <w:szCs w:val="20"/>
          <w:lang w:val="en-GB"/>
        </w:rPr>
        <w:t>configuration</w:t>
      </w:r>
      <w:r w:rsidR="000E4E8E" w:rsidRPr="007B7A90">
        <w:rPr>
          <w:rFonts w:ascii="Arial" w:hAnsi="Arial" w:cs="Arial"/>
          <w:sz w:val="20"/>
          <w:szCs w:val="20"/>
          <w:lang w:val="en-GB"/>
        </w:rPr>
        <w:t>s</w:t>
      </w:r>
      <w:r w:rsidRPr="007B7A90">
        <w:rPr>
          <w:rFonts w:ascii="Arial" w:hAnsi="Arial" w:cs="Arial"/>
          <w:sz w:val="20"/>
          <w:szCs w:val="20"/>
          <w:lang w:val="en-GB"/>
        </w:rPr>
        <w:t xml:space="preserve">, </w:t>
      </w:r>
      <w:r w:rsidR="00DC7B59" w:rsidRPr="007B7A90">
        <w:rPr>
          <w:rFonts w:ascii="Arial" w:hAnsi="Arial" w:cs="Arial"/>
          <w:sz w:val="20"/>
          <w:szCs w:val="20"/>
          <w:lang w:val="en-GB"/>
        </w:rPr>
        <w:t>t</w:t>
      </w:r>
      <w:r w:rsidR="00131712" w:rsidRPr="007B7A90">
        <w:rPr>
          <w:rFonts w:ascii="Arial" w:hAnsi="Arial" w:cs="Arial"/>
          <w:sz w:val="20"/>
          <w:szCs w:val="20"/>
          <w:lang w:val="en-GB"/>
        </w:rPr>
        <w:t xml:space="preserve">he use of TDM or FDM is orthogonal which means for a certain time resource </w:t>
      </w:r>
      <w:r w:rsidR="00DC7B59" w:rsidRPr="007B7A90">
        <w:rPr>
          <w:rFonts w:ascii="Arial" w:hAnsi="Arial" w:cs="Arial"/>
          <w:sz w:val="20"/>
          <w:szCs w:val="20"/>
          <w:lang w:val="en-GB"/>
        </w:rPr>
        <w:t xml:space="preserve">(e.g., a slot) </w:t>
      </w:r>
      <w:r w:rsidR="00131712" w:rsidRPr="007B7A90">
        <w:rPr>
          <w:rFonts w:ascii="Arial" w:hAnsi="Arial" w:cs="Arial"/>
          <w:sz w:val="20"/>
          <w:szCs w:val="20"/>
          <w:lang w:val="en-GB"/>
        </w:rPr>
        <w:t>either one or the other</w:t>
      </w:r>
      <w:r w:rsidR="00DC7B59" w:rsidRPr="007B7A90">
        <w:rPr>
          <w:rFonts w:ascii="Arial" w:hAnsi="Arial" w:cs="Arial"/>
          <w:sz w:val="20"/>
          <w:szCs w:val="20"/>
          <w:lang w:val="en-GB"/>
        </w:rPr>
        <w:t xml:space="preserve"> multiplexing mode</w:t>
      </w:r>
      <w:r w:rsidR="00131712" w:rsidRPr="007B7A90">
        <w:rPr>
          <w:rFonts w:ascii="Arial" w:hAnsi="Arial" w:cs="Arial"/>
          <w:sz w:val="20"/>
          <w:szCs w:val="20"/>
          <w:lang w:val="en-GB"/>
        </w:rPr>
        <w:t xml:space="preserve"> is used.</w:t>
      </w:r>
      <w:r w:rsidR="009D257E">
        <w:rPr>
          <w:rFonts w:ascii="Arial" w:hAnsi="Arial" w:cs="Arial"/>
          <w:sz w:val="20"/>
          <w:szCs w:val="20"/>
          <w:lang w:val="en-GB"/>
        </w:rPr>
        <w:t xml:space="preserve"> </w:t>
      </w:r>
      <w:r w:rsidR="00816BC3">
        <w:rPr>
          <w:rFonts w:ascii="Arial" w:hAnsi="Arial" w:cs="Arial"/>
          <w:sz w:val="20"/>
          <w:szCs w:val="20"/>
          <w:lang w:val="en-GB"/>
        </w:rPr>
        <w:t>I</w:t>
      </w:r>
      <w:r w:rsidR="00DC7B59" w:rsidRPr="00816BC3">
        <w:rPr>
          <w:rFonts w:ascii="Arial" w:hAnsi="Arial" w:cs="Arial"/>
          <w:sz w:val="20"/>
          <w:szCs w:val="20"/>
          <w:lang w:val="en-GB"/>
        </w:rPr>
        <w:t xml:space="preserve">f a slot is operating in TDM mode, the time-domain H/S/NA configurations will apply to the entire bandwidth; </w:t>
      </w:r>
      <w:r w:rsidR="00680857" w:rsidRPr="00816BC3">
        <w:rPr>
          <w:rFonts w:ascii="Arial" w:hAnsi="Arial" w:cs="Arial"/>
          <w:sz w:val="20"/>
          <w:szCs w:val="20"/>
          <w:lang w:val="en-GB"/>
        </w:rPr>
        <w:t xml:space="preserve">whilst </w:t>
      </w:r>
      <w:r w:rsidR="00DC7B59" w:rsidRPr="00816BC3">
        <w:rPr>
          <w:rFonts w:ascii="Arial" w:hAnsi="Arial" w:cs="Arial"/>
          <w:sz w:val="20"/>
          <w:szCs w:val="20"/>
          <w:lang w:val="en-GB"/>
        </w:rPr>
        <w:t>if a slot is operati</w:t>
      </w:r>
      <w:r w:rsidR="00680857" w:rsidRPr="00816BC3">
        <w:rPr>
          <w:rFonts w:ascii="Arial" w:hAnsi="Arial" w:cs="Arial"/>
          <w:sz w:val="20"/>
          <w:szCs w:val="20"/>
          <w:lang w:val="en-GB"/>
        </w:rPr>
        <w:t>ng</w:t>
      </w:r>
      <w:r w:rsidR="00DC7B59" w:rsidRPr="00816BC3">
        <w:rPr>
          <w:rFonts w:ascii="Arial" w:hAnsi="Arial" w:cs="Arial"/>
          <w:sz w:val="20"/>
          <w:szCs w:val="20"/>
          <w:lang w:val="en-GB"/>
        </w:rPr>
        <w:t xml:space="preserve"> in the FDM mode, different IAB-RBGs within the serving cell bandwidth can be </w:t>
      </w:r>
      <w:r w:rsidRPr="00816BC3">
        <w:rPr>
          <w:rFonts w:ascii="Arial" w:hAnsi="Arial" w:cs="Arial"/>
          <w:sz w:val="20"/>
          <w:szCs w:val="20"/>
          <w:lang w:val="en-GB"/>
        </w:rPr>
        <w:t>configured</w:t>
      </w:r>
      <w:r w:rsidR="00DC7B59" w:rsidRPr="00816BC3">
        <w:rPr>
          <w:rFonts w:ascii="Arial" w:hAnsi="Arial" w:cs="Arial"/>
          <w:sz w:val="20"/>
          <w:szCs w:val="20"/>
          <w:lang w:val="en-GB"/>
        </w:rPr>
        <w:t xml:space="preserve"> with different frequency-domain H/S/NA </w:t>
      </w:r>
      <w:r w:rsidRPr="00816BC3">
        <w:rPr>
          <w:rFonts w:ascii="Arial" w:hAnsi="Arial" w:cs="Arial"/>
          <w:sz w:val="20"/>
          <w:szCs w:val="20"/>
          <w:lang w:val="en-GB"/>
        </w:rPr>
        <w:t>resource</w:t>
      </w:r>
      <w:r w:rsidR="00DC7B59" w:rsidRPr="00816BC3">
        <w:rPr>
          <w:rFonts w:ascii="Arial" w:hAnsi="Arial" w:cs="Arial"/>
          <w:sz w:val="20"/>
          <w:szCs w:val="20"/>
          <w:lang w:val="en-GB"/>
        </w:rPr>
        <w:t xml:space="preserve">s. </w:t>
      </w:r>
      <w:r w:rsidR="00652E37" w:rsidRPr="007B7A90">
        <w:rPr>
          <w:rFonts w:ascii="Arial" w:hAnsi="Arial" w:cs="Arial"/>
          <w:sz w:val="20"/>
          <w:szCs w:val="20"/>
          <w:lang w:val="en-GB"/>
        </w:rPr>
        <w:t xml:space="preserve">It should allow mixed TDM and FDM operations for orthogonal time-frequency resources </w:t>
      </w:r>
      <w:r w:rsidR="00680857" w:rsidRPr="007B7A90">
        <w:rPr>
          <w:rFonts w:ascii="Arial" w:hAnsi="Arial" w:cs="Arial"/>
          <w:sz w:val="20"/>
          <w:szCs w:val="20"/>
          <w:lang w:val="en-GB"/>
        </w:rPr>
        <w:t>at</w:t>
      </w:r>
      <w:r w:rsidR="00652E37" w:rsidRPr="007B7A90">
        <w:rPr>
          <w:rFonts w:ascii="Arial" w:hAnsi="Arial" w:cs="Arial"/>
          <w:sz w:val="20"/>
          <w:szCs w:val="20"/>
          <w:lang w:val="en-GB"/>
        </w:rPr>
        <w:t xml:space="preserve"> one IAB-node, i.e., TDM and FDM can be configured and operate independently. </w:t>
      </w:r>
      <w:r w:rsidR="00652E37" w:rsidRPr="00877A84">
        <w:rPr>
          <w:rFonts w:ascii="Arial" w:hAnsi="Arial" w:cs="Arial"/>
          <w:sz w:val="20"/>
          <w:szCs w:val="20"/>
          <w:lang w:val="en-GB"/>
        </w:rPr>
        <w:t xml:space="preserve">Meanwhile, </w:t>
      </w:r>
      <w:r w:rsidRPr="00877A84">
        <w:rPr>
          <w:rFonts w:ascii="Arial" w:hAnsi="Arial" w:cs="Arial"/>
          <w:sz w:val="20"/>
          <w:szCs w:val="20"/>
          <w:lang w:val="en-GB"/>
        </w:rPr>
        <w:t xml:space="preserve">the parent </w:t>
      </w:r>
      <w:r w:rsidR="00AB78B7" w:rsidRPr="00877A84">
        <w:rPr>
          <w:rFonts w:ascii="Arial" w:hAnsi="Arial" w:cs="Arial"/>
          <w:sz w:val="20"/>
          <w:szCs w:val="20"/>
          <w:lang w:val="en-GB"/>
        </w:rPr>
        <w:t>IAB-</w:t>
      </w:r>
      <w:r w:rsidRPr="00877A84">
        <w:rPr>
          <w:rFonts w:ascii="Arial" w:hAnsi="Arial" w:cs="Arial"/>
          <w:sz w:val="20"/>
          <w:szCs w:val="20"/>
          <w:lang w:val="en-GB"/>
        </w:rPr>
        <w:t xml:space="preserve">node and child </w:t>
      </w:r>
      <w:r w:rsidR="00AB78B7" w:rsidRPr="00877A84">
        <w:rPr>
          <w:rFonts w:ascii="Arial" w:hAnsi="Arial" w:cs="Arial"/>
          <w:sz w:val="20"/>
          <w:szCs w:val="20"/>
          <w:lang w:val="en-GB"/>
        </w:rPr>
        <w:t>IAB-</w:t>
      </w:r>
      <w:r w:rsidRPr="00877A84">
        <w:rPr>
          <w:rFonts w:ascii="Arial" w:hAnsi="Arial" w:cs="Arial"/>
          <w:sz w:val="20"/>
          <w:szCs w:val="20"/>
          <w:lang w:val="en-GB"/>
        </w:rPr>
        <w:t>nodes may o</w:t>
      </w:r>
      <w:r w:rsidR="00AB78B7" w:rsidRPr="00877A84">
        <w:rPr>
          <w:rFonts w:ascii="Arial" w:hAnsi="Arial" w:cs="Arial"/>
          <w:sz w:val="20"/>
          <w:szCs w:val="20"/>
          <w:lang w:val="en-GB"/>
        </w:rPr>
        <w:t>perate</w:t>
      </w:r>
      <w:r w:rsidRPr="00877A84">
        <w:rPr>
          <w:rFonts w:ascii="Arial" w:hAnsi="Arial" w:cs="Arial"/>
          <w:sz w:val="20"/>
          <w:szCs w:val="20"/>
          <w:lang w:val="en-GB"/>
        </w:rPr>
        <w:t xml:space="preserve"> in different </w:t>
      </w:r>
      <w:r w:rsidR="00AB78B7" w:rsidRPr="00877A84">
        <w:rPr>
          <w:rFonts w:ascii="Arial" w:hAnsi="Arial" w:cs="Arial"/>
          <w:sz w:val="20"/>
          <w:szCs w:val="20"/>
          <w:lang w:val="en-GB"/>
        </w:rPr>
        <w:t>multiplexing</w:t>
      </w:r>
      <w:r w:rsidRPr="00877A84">
        <w:rPr>
          <w:rFonts w:ascii="Arial" w:hAnsi="Arial" w:cs="Arial"/>
          <w:sz w:val="20"/>
          <w:szCs w:val="20"/>
          <w:lang w:val="en-GB"/>
        </w:rPr>
        <w:t xml:space="preserve"> </w:t>
      </w:r>
      <w:r w:rsidR="00652E37" w:rsidRPr="00877A84">
        <w:rPr>
          <w:rFonts w:ascii="Arial" w:hAnsi="Arial" w:cs="Arial"/>
          <w:sz w:val="20"/>
          <w:szCs w:val="20"/>
          <w:lang w:val="en-GB"/>
        </w:rPr>
        <w:t xml:space="preserve">modes in the same slot. </w:t>
      </w:r>
    </w:p>
    <w:p w14:paraId="73FB9687" w14:textId="651A6B61" w:rsidR="00DC7B59" w:rsidRPr="007B7A90" w:rsidRDefault="00DC7B59" w:rsidP="007300CA">
      <w:pPr>
        <w:pStyle w:val="Proposal"/>
      </w:pPr>
      <w:bookmarkStart w:id="17" w:name="_Toc71663391"/>
      <w:r w:rsidRPr="007B7A90">
        <w:t xml:space="preserve">Support </w:t>
      </w:r>
      <w:r w:rsidR="006C5746" w:rsidRPr="007B7A90">
        <w:t>separate</w:t>
      </w:r>
      <w:r w:rsidR="006C5746" w:rsidRPr="00BB04E1">
        <w:t xml:space="preserve"> </w:t>
      </w:r>
      <w:r w:rsidRPr="007B7A90">
        <w:t>TDM and FDM configurations</w:t>
      </w:r>
      <w:r w:rsidR="000B3CCF" w:rsidRPr="007B7A90">
        <w:t xml:space="preserve"> in </w:t>
      </w:r>
      <w:r w:rsidR="00A96721">
        <w:t>an</w:t>
      </w:r>
      <w:r w:rsidR="000B3CCF" w:rsidRPr="007B7A90">
        <w:t xml:space="preserve"> IAB-node</w:t>
      </w:r>
      <w:r w:rsidRPr="007B7A90">
        <w:t>.</w:t>
      </w:r>
      <w:bookmarkEnd w:id="17"/>
    </w:p>
    <w:p w14:paraId="703119CF" w14:textId="05B8AC4A" w:rsidR="00637529" w:rsidRPr="005D1411" w:rsidRDefault="00680857" w:rsidP="007300CA">
      <w:pPr>
        <w:pStyle w:val="Proposal"/>
      </w:pPr>
      <w:bookmarkStart w:id="18" w:name="_Toc71663392"/>
      <w:r w:rsidRPr="00877A84">
        <w:t xml:space="preserve">Support </w:t>
      </w:r>
      <w:r w:rsidR="00190B9F">
        <w:t xml:space="preserve">operation in </w:t>
      </w:r>
      <w:r w:rsidR="00E00652" w:rsidRPr="00877A84">
        <w:t>either TDM</w:t>
      </w:r>
      <w:r w:rsidR="00E00652" w:rsidRPr="007B7A90">
        <w:t xml:space="preserve"> </w:t>
      </w:r>
      <w:r w:rsidR="00E00652" w:rsidRPr="00BB04E1">
        <w:t xml:space="preserve">or FDM </w:t>
      </w:r>
      <w:r w:rsidR="00190B9F">
        <w:t xml:space="preserve">modes </w:t>
      </w:r>
      <w:r w:rsidR="00E00652" w:rsidRPr="00BB04E1">
        <w:t>on a per-slot basis</w:t>
      </w:r>
      <w:r w:rsidRPr="007B7A90">
        <w:t>.</w:t>
      </w:r>
      <w:bookmarkEnd w:id="18"/>
    </w:p>
    <w:p w14:paraId="707E713F" w14:textId="57D44B57" w:rsidR="00C47EFC" w:rsidRPr="00877A84" w:rsidRDefault="00267A61" w:rsidP="00872BF6">
      <w:pPr>
        <w:jc w:val="both"/>
        <w:rPr>
          <w:rFonts w:ascii="Arial" w:hAnsi="Arial" w:cs="Arial"/>
          <w:sz w:val="20"/>
          <w:szCs w:val="20"/>
          <w:lang w:val="en-GB"/>
        </w:rPr>
      </w:pPr>
      <w:r w:rsidRPr="007B7A90">
        <w:rPr>
          <w:rFonts w:ascii="Arial" w:hAnsi="Arial" w:cs="Arial"/>
          <w:sz w:val="20"/>
          <w:szCs w:val="20"/>
          <w:lang w:val="en-GB"/>
        </w:rPr>
        <w:t xml:space="preserve">In Rel-16 IAB, the capability </w:t>
      </w:r>
      <w:r w:rsidR="00032CA1" w:rsidRPr="007B7A90">
        <w:rPr>
          <w:rFonts w:ascii="Arial" w:hAnsi="Arial" w:cs="Arial"/>
          <w:sz w:val="20"/>
          <w:szCs w:val="20"/>
          <w:lang w:val="en-GB"/>
        </w:rPr>
        <w:t>”TDM not required”</w:t>
      </w:r>
      <w:r w:rsidRPr="007B7A90">
        <w:rPr>
          <w:rFonts w:ascii="Arial" w:hAnsi="Arial" w:cs="Arial"/>
          <w:sz w:val="20"/>
          <w:szCs w:val="20"/>
          <w:lang w:val="en-GB"/>
        </w:rPr>
        <w:t xml:space="preserve"> </w:t>
      </w:r>
      <w:r w:rsidR="0055629C" w:rsidRPr="007B7A90">
        <w:rPr>
          <w:rFonts w:ascii="Arial" w:hAnsi="Arial" w:cs="Arial"/>
          <w:sz w:val="20"/>
          <w:szCs w:val="20"/>
          <w:lang w:val="en-GB"/>
        </w:rPr>
        <w:t xml:space="preserve">implies either FDM or SDM </w:t>
      </w:r>
      <w:r w:rsidR="006B08B9" w:rsidRPr="007B7A90">
        <w:rPr>
          <w:rFonts w:ascii="Arial" w:hAnsi="Arial" w:cs="Arial"/>
          <w:sz w:val="20"/>
          <w:szCs w:val="20"/>
          <w:lang w:val="en-GB"/>
        </w:rPr>
        <w:t>capabilities</w:t>
      </w:r>
      <w:r w:rsidR="00032CA1" w:rsidRPr="007B7A90">
        <w:rPr>
          <w:rFonts w:ascii="Arial" w:hAnsi="Arial" w:cs="Arial"/>
          <w:sz w:val="20"/>
          <w:szCs w:val="20"/>
          <w:lang w:val="en-GB"/>
        </w:rPr>
        <w:t xml:space="preserve">. </w:t>
      </w:r>
      <w:r w:rsidR="00032CA1" w:rsidRPr="00877A84">
        <w:rPr>
          <w:rFonts w:ascii="Arial" w:hAnsi="Arial" w:cs="Arial"/>
          <w:sz w:val="20"/>
          <w:szCs w:val="20"/>
          <w:lang w:val="en-GB"/>
        </w:rPr>
        <w:t>As</w:t>
      </w:r>
      <w:r w:rsidR="00F037CB" w:rsidRPr="00877A84">
        <w:rPr>
          <w:rFonts w:ascii="Arial" w:hAnsi="Arial" w:cs="Arial"/>
          <w:sz w:val="20"/>
          <w:szCs w:val="20"/>
          <w:lang w:val="en-GB"/>
        </w:rPr>
        <w:t xml:space="preserve"> explained earlier</w:t>
      </w:r>
      <w:r w:rsidR="00032CA1" w:rsidRPr="00877A84">
        <w:rPr>
          <w:rFonts w:ascii="Arial" w:hAnsi="Arial" w:cs="Arial"/>
          <w:sz w:val="20"/>
          <w:szCs w:val="20"/>
          <w:lang w:val="en-GB"/>
        </w:rPr>
        <w:t>, it is beneficial to configure frequency-domain H/S/NA to an FDM-capable IAB-node. It is also possible that the multiplexing capability of an IAB-node is locally changed from SDM to FDM, due to, for example, timing and/or interference environment</w:t>
      </w:r>
      <w:r w:rsidR="003C6BE9" w:rsidRPr="00877A84">
        <w:rPr>
          <w:rFonts w:ascii="Arial" w:hAnsi="Arial" w:cs="Arial"/>
          <w:sz w:val="20"/>
          <w:szCs w:val="20"/>
          <w:lang w:val="en-GB"/>
        </w:rPr>
        <w:t>al</w:t>
      </w:r>
      <w:r w:rsidR="00032CA1" w:rsidRPr="00877A84">
        <w:rPr>
          <w:rFonts w:ascii="Arial" w:hAnsi="Arial" w:cs="Arial"/>
          <w:sz w:val="20"/>
          <w:szCs w:val="20"/>
          <w:lang w:val="en-GB"/>
        </w:rPr>
        <w:t xml:space="preserve"> </w:t>
      </w:r>
      <w:r w:rsidR="00A22B88" w:rsidRPr="00877A84">
        <w:rPr>
          <w:rFonts w:ascii="Arial" w:hAnsi="Arial" w:cs="Arial"/>
          <w:sz w:val="20"/>
          <w:szCs w:val="20"/>
          <w:lang w:val="en-GB"/>
        </w:rPr>
        <w:t>changes</w:t>
      </w:r>
      <w:r w:rsidR="00032CA1" w:rsidRPr="00877A84">
        <w:rPr>
          <w:rFonts w:ascii="Arial" w:hAnsi="Arial" w:cs="Arial"/>
          <w:sz w:val="20"/>
          <w:szCs w:val="20"/>
          <w:lang w:val="en-GB"/>
        </w:rPr>
        <w:t xml:space="preserve">. </w:t>
      </w:r>
      <w:r w:rsidR="00DF61E1" w:rsidRPr="00877A84">
        <w:rPr>
          <w:rFonts w:ascii="Arial" w:hAnsi="Arial" w:cs="Arial"/>
          <w:sz w:val="20"/>
          <w:szCs w:val="20"/>
          <w:lang w:val="en-GB"/>
        </w:rPr>
        <w:t xml:space="preserve">In this </w:t>
      </w:r>
      <w:r w:rsidR="00740EFD" w:rsidRPr="00877A84">
        <w:rPr>
          <w:rFonts w:ascii="Arial" w:hAnsi="Arial" w:cs="Arial"/>
          <w:sz w:val="20"/>
          <w:szCs w:val="20"/>
          <w:lang w:val="en-GB"/>
        </w:rPr>
        <w:t>situation</w:t>
      </w:r>
      <w:r w:rsidR="00032CA1" w:rsidRPr="00877A84">
        <w:rPr>
          <w:rFonts w:ascii="Arial" w:hAnsi="Arial" w:cs="Arial"/>
          <w:sz w:val="20"/>
          <w:szCs w:val="20"/>
          <w:lang w:val="en-GB"/>
        </w:rPr>
        <w:t>, the IAB-</w:t>
      </w:r>
      <w:r w:rsidR="00183FE8" w:rsidRPr="00877A84">
        <w:rPr>
          <w:rFonts w:ascii="Arial" w:hAnsi="Arial" w:cs="Arial"/>
          <w:sz w:val="20"/>
          <w:szCs w:val="20"/>
          <w:lang w:val="en-GB"/>
        </w:rPr>
        <w:t>node can</w:t>
      </w:r>
      <w:r w:rsidR="00032CA1" w:rsidRPr="00877A84">
        <w:rPr>
          <w:rFonts w:ascii="Arial" w:hAnsi="Arial" w:cs="Arial"/>
          <w:sz w:val="20"/>
          <w:szCs w:val="20"/>
          <w:lang w:val="en-GB"/>
        </w:rPr>
        <w:t xml:space="preserve"> </w:t>
      </w:r>
      <w:r w:rsidR="00480211" w:rsidRPr="00877A84">
        <w:rPr>
          <w:rFonts w:ascii="Arial" w:hAnsi="Arial" w:cs="Arial"/>
          <w:sz w:val="20"/>
          <w:szCs w:val="20"/>
          <w:lang w:val="en-GB"/>
        </w:rPr>
        <w:t>still</w:t>
      </w:r>
      <w:r w:rsidR="00032CA1" w:rsidRPr="00877A84">
        <w:rPr>
          <w:rFonts w:ascii="Arial" w:hAnsi="Arial" w:cs="Arial"/>
          <w:sz w:val="20"/>
          <w:szCs w:val="20"/>
          <w:lang w:val="en-GB"/>
        </w:rPr>
        <w:t xml:space="preserve"> perform simultaneous transmission or reception but is changed from using overlapping time and frequency resources </w:t>
      </w:r>
      <w:r w:rsidR="00480211" w:rsidRPr="00877A84">
        <w:rPr>
          <w:rFonts w:ascii="Arial" w:hAnsi="Arial" w:cs="Arial"/>
          <w:sz w:val="20"/>
          <w:szCs w:val="20"/>
          <w:lang w:val="en-GB"/>
        </w:rPr>
        <w:t xml:space="preserve">(SDM) </w:t>
      </w:r>
      <w:r w:rsidR="00032CA1" w:rsidRPr="00877A84">
        <w:rPr>
          <w:rFonts w:ascii="Arial" w:hAnsi="Arial" w:cs="Arial"/>
          <w:sz w:val="20"/>
          <w:szCs w:val="20"/>
          <w:lang w:val="en-GB"/>
        </w:rPr>
        <w:t>to using overlapping time but non-overlapping frequency resources</w:t>
      </w:r>
      <w:r w:rsidR="00480211" w:rsidRPr="00877A84">
        <w:rPr>
          <w:rFonts w:ascii="Arial" w:hAnsi="Arial" w:cs="Arial"/>
          <w:sz w:val="20"/>
          <w:szCs w:val="20"/>
          <w:lang w:val="en-GB"/>
        </w:rPr>
        <w:t xml:space="preserve"> (FDM)</w:t>
      </w:r>
      <w:r w:rsidR="00032CA1" w:rsidRPr="00877A84">
        <w:rPr>
          <w:rFonts w:ascii="Arial" w:hAnsi="Arial" w:cs="Arial"/>
          <w:sz w:val="20"/>
          <w:szCs w:val="20"/>
          <w:lang w:val="en-GB"/>
        </w:rPr>
        <w:t>.</w:t>
      </w:r>
      <w:r w:rsidR="00637529" w:rsidRPr="00877A84">
        <w:rPr>
          <w:rFonts w:ascii="Arial" w:hAnsi="Arial" w:cs="Arial"/>
          <w:sz w:val="20"/>
          <w:szCs w:val="20"/>
          <w:lang w:val="en-GB"/>
        </w:rPr>
        <w:t xml:space="preserve"> Consequently</w:t>
      </w:r>
      <w:r w:rsidR="00032CA1" w:rsidRPr="00877A84">
        <w:rPr>
          <w:rFonts w:ascii="Arial" w:hAnsi="Arial" w:cs="Arial"/>
          <w:sz w:val="20"/>
          <w:szCs w:val="20"/>
          <w:lang w:val="en-GB"/>
        </w:rPr>
        <w:t xml:space="preserve">, configuring frequency-domain H/S/NA also to an SDM-capable IAB-node can better prepare the IAB-node for possible </w:t>
      </w:r>
      <w:r w:rsidR="00480211" w:rsidRPr="00877A84">
        <w:rPr>
          <w:rFonts w:ascii="Arial" w:hAnsi="Arial" w:cs="Arial"/>
          <w:sz w:val="20"/>
          <w:szCs w:val="20"/>
          <w:lang w:val="en-GB"/>
        </w:rPr>
        <w:t xml:space="preserve">changes of its </w:t>
      </w:r>
      <w:r w:rsidR="00032CA1" w:rsidRPr="00877A84">
        <w:rPr>
          <w:rFonts w:ascii="Arial" w:hAnsi="Arial" w:cs="Arial"/>
          <w:sz w:val="20"/>
          <w:szCs w:val="20"/>
          <w:lang w:val="en-GB"/>
        </w:rPr>
        <w:t xml:space="preserve">multiplexing-capability. </w:t>
      </w:r>
    </w:p>
    <w:p w14:paraId="270A3FF1" w14:textId="5FFDDDC7" w:rsidR="00032CA1" w:rsidRPr="007B7A90" w:rsidRDefault="00C26773" w:rsidP="007300CA">
      <w:pPr>
        <w:pStyle w:val="Proposal"/>
      </w:pPr>
      <w:bookmarkStart w:id="19" w:name="_Toc58832849"/>
      <w:bookmarkStart w:id="20" w:name="_Toc61903484"/>
      <w:bookmarkStart w:id="21" w:name="_Toc71663393"/>
      <w:r>
        <w:t>An</w:t>
      </w:r>
      <w:r w:rsidRPr="007B7A90">
        <w:t xml:space="preserve"> IAB-node which has indicated “TDM not required” to the </w:t>
      </w:r>
      <w:r>
        <w:t>IAB-donor-CU</w:t>
      </w:r>
      <w:r w:rsidRPr="007B7A90">
        <w:t xml:space="preserve"> </w:t>
      </w:r>
      <w:r>
        <w:t>is at least provided with</w:t>
      </w:r>
      <w:r w:rsidR="0055629C" w:rsidRPr="007B7A90">
        <w:t xml:space="preserve"> </w:t>
      </w:r>
      <w:r>
        <w:t>an</w:t>
      </w:r>
      <w:r w:rsidR="0055629C" w:rsidRPr="007B7A90">
        <w:t xml:space="preserve"> </w:t>
      </w:r>
      <w:r w:rsidR="0055629C" w:rsidRPr="007B7A90">
        <w:t>additional f</w:t>
      </w:r>
      <w:r w:rsidR="00032CA1" w:rsidRPr="007B7A90">
        <w:t>requency-domain H/S/NA configuration.</w:t>
      </w:r>
      <w:bookmarkEnd w:id="19"/>
      <w:bookmarkEnd w:id="20"/>
      <w:bookmarkEnd w:id="21"/>
    </w:p>
    <w:p w14:paraId="30B6514E" w14:textId="686E6B54" w:rsidR="007B4AF9" w:rsidRPr="007B4D83" w:rsidRDefault="00032CA1" w:rsidP="00872BF6">
      <w:pPr>
        <w:jc w:val="both"/>
        <w:rPr>
          <w:rFonts w:ascii="Arial" w:hAnsi="Arial" w:cs="Arial"/>
          <w:sz w:val="20"/>
          <w:szCs w:val="20"/>
          <w:lang w:val="en-GB"/>
        </w:rPr>
      </w:pPr>
      <w:r w:rsidRPr="007B7A90">
        <w:rPr>
          <w:rFonts w:ascii="Arial" w:hAnsi="Arial" w:cs="Arial"/>
          <w:sz w:val="20"/>
          <w:szCs w:val="20"/>
          <w:lang w:val="en-GB"/>
        </w:rPr>
        <w:lastRenderedPageBreak/>
        <w:t xml:space="preserve">When the multiplexing capability of an IAB-node changes, e.g., from FDM to TDM, from SDM to TDM, from SDM to FDM, or the other way around, the parent node can be provided with </w:t>
      </w:r>
      <w:r w:rsidR="00297684" w:rsidRPr="007B7A90">
        <w:rPr>
          <w:rFonts w:ascii="Arial" w:hAnsi="Arial" w:cs="Arial"/>
          <w:sz w:val="20"/>
          <w:szCs w:val="20"/>
          <w:lang w:val="en-GB"/>
        </w:rPr>
        <w:t>updated multiplexing capability</w:t>
      </w:r>
      <w:r w:rsidRPr="007B7A90">
        <w:rPr>
          <w:rFonts w:ascii="Arial" w:hAnsi="Arial" w:cs="Arial"/>
          <w:sz w:val="20"/>
          <w:szCs w:val="20"/>
          <w:lang w:val="en-GB"/>
        </w:rPr>
        <w:t xml:space="preserve">. </w:t>
      </w:r>
      <w:r w:rsidR="000C5779" w:rsidRPr="00877A84">
        <w:rPr>
          <w:rFonts w:ascii="Arial" w:hAnsi="Arial" w:cs="Arial"/>
          <w:sz w:val="20"/>
          <w:szCs w:val="20"/>
          <w:lang w:val="en-GB"/>
        </w:rPr>
        <w:t>Accordingly</w:t>
      </w:r>
      <w:r w:rsidRPr="00877A84">
        <w:rPr>
          <w:rFonts w:ascii="Arial" w:hAnsi="Arial" w:cs="Arial"/>
          <w:sz w:val="20"/>
          <w:szCs w:val="20"/>
          <w:lang w:val="en-GB"/>
        </w:rPr>
        <w:t xml:space="preserve">, the IAB-node </w:t>
      </w:r>
      <w:r w:rsidR="000C5779" w:rsidRPr="00877A84">
        <w:rPr>
          <w:rFonts w:ascii="Arial" w:hAnsi="Arial" w:cs="Arial"/>
          <w:sz w:val="20"/>
          <w:szCs w:val="20"/>
          <w:lang w:val="en-GB"/>
        </w:rPr>
        <w:t>should switch to</w:t>
      </w:r>
      <w:r w:rsidRPr="00877A84">
        <w:rPr>
          <w:rFonts w:ascii="Arial" w:hAnsi="Arial" w:cs="Arial"/>
          <w:sz w:val="20"/>
          <w:szCs w:val="20"/>
          <w:lang w:val="en-GB"/>
        </w:rPr>
        <w:t xml:space="preserve"> the H/S/NA configuration that fits for the actual multiplexing capability.</w:t>
      </w:r>
      <w:r w:rsidR="00DD047E" w:rsidRPr="00877A84">
        <w:rPr>
          <w:rFonts w:ascii="Arial" w:hAnsi="Arial" w:cs="Arial"/>
          <w:sz w:val="20"/>
          <w:szCs w:val="20"/>
          <w:lang w:val="en-GB"/>
        </w:rPr>
        <w:t xml:space="preserve"> </w:t>
      </w:r>
      <w:r w:rsidR="00DD047E" w:rsidRPr="007B4D83">
        <w:rPr>
          <w:rFonts w:ascii="Arial" w:hAnsi="Arial" w:cs="Arial"/>
          <w:sz w:val="20"/>
          <w:szCs w:val="20"/>
          <w:lang w:val="en-GB"/>
        </w:rPr>
        <w:t>More discussion on the multiplexing capability signa</w:t>
      </w:r>
      <w:r w:rsidR="00480211" w:rsidRPr="007B4D83">
        <w:rPr>
          <w:rFonts w:ascii="Arial" w:hAnsi="Arial" w:cs="Arial"/>
          <w:sz w:val="20"/>
          <w:szCs w:val="20"/>
          <w:lang w:val="en-GB"/>
        </w:rPr>
        <w:t>l</w:t>
      </w:r>
      <w:r w:rsidR="00DD047E" w:rsidRPr="007B4D83">
        <w:rPr>
          <w:rFonts w:ascii="Arial" w:hAnsi="Arial" w:cs="Arial"/>
          <w:sz w:val="20"/>
          <w:szCs w:val="20"/>
          <w:lang w:val="en-GB"/>
        </w:rPr>
        <w:t xml:space="preserve">ling is given in </w:t>
      </w:r>
      <w:r w:rsidR="009C526E">
        <w:rPr>
          <w:rFonts w:ascii="Arial" w:hAnsi="Arial" w:cs="Arial"/>
          <w:sz w:val="20"/>
          <w:szCs w:val="20"/>
          <w:lang w:val="en-GB"/>
        </w:rPr>
        <w:t>Sec.</w:t>
      </w:r>
      <w:r w:rsidR="00DD047E" w:rsidRPr="007B4D83">
        <w:rPr>
          <w:rFonts w:ascii="Arial" w:hAnsi="Arial" w:cs="Arial"/>
          <w:sz w:val="20"/>
          <w:szCs w:val="20"/>
          <w:lang w:val="en-GB"/>
        </w:rPr>
        <w:t xml:space="preserve"> </w:t>
      </w:r>
      <w:r w:rsidR="00DD047E" w:rsidRPr="00480211">
        <w:rPr>
          <w:rFonts w:ascii="Arial" w:hAnsi="Arial" w:cs="Arial"/>
          <w:sz w:val="20"/>
          <w:szCs w:val="20"/>
        </w:rPr>
        <w:fldChar w:fldCharType="begin"/>
      </w:r>
      <w:r w:rsidR="00DD047E" w:rsidRPr="007B4D83">
        <w:rPr>
          <w:rFonts w:ascii="Arial" w:hAnsi="Arial" w:cs="Arial"/>
          <w:sz w:val="20"/>
          <w:szCs w:val="20"/>
          <w:lang w:val="en-GB"/>
        </w:rPr>
        <w:instrText xml:space="preserve"> REF _Ref67427596 \r \h </w:instrText>
      </w:r>
      <w:r w:rsidR="00872BF6" w:rsidRPr="007D46AA">
        <w:rPr>
          <w:rFonts w:ascii="Arial" w:hAnsi="Arial" w:cs="Arial"/>
          <w:sz w:val="20"/>
          <w:szCs w:val="20"/>
          <w:lang w:val="en-GB"/>
        </w:rPr>
        <w:instrText xml:space="preserve"> \* MERGEFORMAT </w:instrText>
      </w:r>
      <w:r w:rsidR="00DD047E" w:rsidRPr="00480211">
        <w:rPr>
          <w:rFonts w:ascii="Arial" w:hAnsi="Arial" w:cs="Arial"/>
          <w:sz w:val="20"/>
          <w:szCs w:val="20"/>
        </w:rPr>
      </w:r>
      <w:r w:rsidR="00DD047E" w:rsidRPr="00480211">
        <w:rPr>
          <w:rFonts w:ascii="Arial" w:hAnsi="Arial" w:cs="Arial"/>
          <w:sz w:val="20"/>
          <w:szCs w:val="20"/>
        </w:rPr>
        <w:fldChar w:fldCharType="separate"/>
      </w:r>
      <w:r w:rsidR="00301FA3">
        <w:rPr>
          <w:rFonts w:ascii="Arial" w:hAnsi="Arial" w:cs="Arial"/>
          <w:sz w:val="20"/>
          <w:szCs w:val="20"/>
          <w:lang w:val="en-GB"/>
        </w:rPr>
        <w:t>2.3</w:t>
      </w:r>
      <w:r w:rsidR="00DD047E" w:rsidRPr="00480211">
        <w:rPr>
          <w:rFonts w:ascii="Arial" w:hAnsi="Arial" w:cs="Arial"/>
          <w:sz w:val="20"/>
          <w:szCs w:val="20"/>
        </w:rPr>
        <w:fldChar w:fldCharType="end"/>
      </w:r>
      <w:r w:rsidR="00DD047E" w:rsidRPr="007B4D83">
        <w:rPr>
          <w:rFonts w:ascii="Arial" w:hAnsi="Arial" w:cs="Arial"/>
          <w:sz w:val="20"/>
          <w:szCs w:val="20"/>
          <w:lang w:val="en-GB"/>
        </w:rPr>
        <w:t>.</w:t>
      </w:r>
    </w:p>
    <w:p w14:paraId="55DAA9F2" w14:textId="28733FB8" w:rsidR="007B4AF9" w:rsidRPr="00B4490D" w:rsidRDefault="007B4AF9" w:rsidP="007300CA">
      <w:pPr>
        <w:pStyle w:val="Observation"/>
      </w:pPr>
      <w:bookmarkStart w:id="22" w:name="_Toc71663378"/>
      <w:r w:rsidRPr="00B4490D">
        <w:t>Multiplexing capabilities can change with time</w:t>
      </w:r>
      <w:r w:rsidR="00C26773" w:rsidRPr="00B4490D">
        <w:t xml:space="preserve"> due to</w:t>
      </w:r>
      <w:r w:rsidR="00510866" w:rsidRPr="00B4490D">
        <w:t>, e.g.,</w:t>
      </w:r>
      <w:r w:rsidR="00C26773" w:rsidRPr="00B4490D">
        <w:t xml:space="preserve"> changing channel conditions</w:t>
      </w:r>
      <w:r w:rsidRPr="00B4490D">
        <w:t>.</w:t>
      </w:r>
      <w:bookmarkEnd w:id="22"/>
    </w:p>
    <w:p w14:paraId="2D54E2D6" w14:textId="64A76DE0" w:rsidR="00FD7418" w:rsidRPr="00877A84" w:rsidRDefault="00032CA1" w:rsidP="00872BF6">
      <w:pPr>
        <w:jc w:val="both"/>
        <w:rPr>
          <w:rFonts w:ascii="Arial" w:hAnsi="Arial" w:cs="Arial"/>
          <w:sz w:val="20"/>
          <w:szCs w:val="20"/>
          <w:lang w:val="en-GB"/>
        </w:rPr>
      </w:pPr>
      <w:r w:rsidRPr="00877A84">
        <w:rPr>
          <w:rFonts w:ascii="Arial" w:hAnsi="Arial" w:cs="Arial"/>
          <w:sz w:val="20"/>
          <w:szCs w:val="20"/>
          <w:lang w:val="en-GB"/>
        </w:rPr>
        <w:t xml:space="preserve">If the parent node has the information of all H/S/NA configurations that have been provided to the IAB-DU, based on the </w:t>
      </w:r>
      <w:r w:rsidR="00405275" w:rsidRPr="00877A84">
        <w:rPr>
          <w:rFonts w:ascii="Arial" w:hAnsi="Arial" w:cs="Arial"/>
          <w:sz w:val="20"/>
          <w:szCs w:val="20"/>
          <w:lang w:val="en-GB"/>
        </w:rPr>
        <w:t>updated</w:t>
      </w:r>
      <w:r w:rsidRPr="00877A84">
        <w:rPr>
          <w:rFonts w:ascii="Arial" w:hAnsi="Arial" w:cs="Arial"/>
          <w:sz w:val="20"/>
          <w:szCs w:val="20"/>
          <w:lang w:val="en-GB"/>
        </w:rPr>
        <w:t xml:space="preserve"> multiplexing-capability, the parent node can also have a good understanding of which configuration the IAB-node is using, and thereby make appropriate assumption about the resource availability at the IAB-MT.</w:t>
      </w:r>
    </w:p>
    <w:p w14:paraId="622F3B1C" w14:textId="5A060D68" w:rsidR="000D6F8D" w:rsidRPr="007B36A4" w:rsidRDefault="00510866" w:rsidP="007300CA">
      <w:pPr>
        <w:pStyle w:val="Proposal"/>
      </w:pPr>
      <w:bookmarkStart w:id="23" w:name="_Toc58832850"/>
      <w:bookmarkStart w:id="24" w:name="_Toc61903485"/>
      <w:bookmarkStart w:id="25" w:name="_Toc71663394"/>
      <w:r w:rsidRPr="007B36A4">
        <w:t>A</w:t>
      </w:r>
      <w:r w:rsidR="00032CA1" w:rsidRPr="007B36A4">
        <w:t xml:space="preserve"> parent node </w:t>
      </w:r>
      <w:r w:rsidR="00405275" w:rsidRPr="007B36A4">
        <w:t>can be made</w:t>
      </w:r>
      <w:r w:rsidR="00032CA1" w:rsidRPr="007B36A4">
        <w:t xml:space="preserve"> aware of all IAB-DU resource configurations, including both time-domain and frequency-domain H/S/NA configurations.</w:t>
      </w:r>
      <w:bookmarkEnd w:id="23"/>
      <w:bookmarkEnd w:id="24"/>
      <w:bookmarkEnd w:id="25"/>
    </w:p>
    <w:p w14:paraId="385209B1" w14:textId="2C9B1496" w:rsidR="00032CA1" w:rsidRPr="002C492D" w:rsidRDefault="00032CA1" w:rsidP="00872BF6">
      <w:pPr>
        <w:pStyle w:val="Heading3"/>
        <w:jc w:val="both"/>
      </w:pPr>
      <w:r w:rsidRPr="00C75E69">
        <w:t>DCI 2_5 for frequency-domain Soft resource</w:t>
      </w:r>
    </w:p>
    <w:p w14:paraId="61E58F94" w14:textId="72486C1D" w:rsidR="00A6131E" w:rsidRDefault="00C9581F" w:rsidP="0069655B">
      <w:pPr>
        <w:jc w:val="both"/>
        <w:rPr>
          <w:rFonts w:ascii="Arial" w:hAnsi="Arial" w:cs="Arial"/>
          <w:sz w:val="20"/>
          <w:szCs w:val="20"/>
          <w:lang w:val="en-GB"/>
        </w:rPr>
      </w:pPr>
      <w:r w:rsidRPr="00877A84">
        <w:rPr>
          <w:rFonts w:ascii="Arial" w:hAnsi="Arial" w:cs="Arial"/>
          <w:sz w:val="20"/>
          <w:szCs w:val="20"/>
          <w:lang w:val="en-GB"/>
        </w:rPr>
        <w:t xml:space="preserve">In Rel-16 IAB there are two ways, for the parent node, to indicate the availability of the soft time-domain </w:t>
      </w:r>
      <w:r w:rsidR="00372F40">
        <w:rPr>
          <w:rFonts w:ascii="Arial" w:hAnsi="Arial" w:cs="Arial"/>
          <w:sz w:val="20"/>
          <w:szCs w:val="20"/>
          <w:lang w:val="en-GB"/>
        </w:rPr>
        <w:t>IAB-</w:t>
      </w:r>
      <w:r w:rsidRPr="00877A84">
        <w:rPr>
          <w:rFonts w:ascii="Arial" w:hAnsi="Arial" w:cs="Arial"/>
          <w:sz w:val="20"/>
          <w:szCs w:val="20"/>
          <w:lang w:val="en-GB"/>
        </w:rPr>
        <w:t xml:space="preserve">DU resource: implicit indication and explicit indication. The explicit indication, referred to as Availability Indication (AI), uses DCI Format 2_5 for dynamically indicating the availability of </w:t>
      </w:r>
      <w:r w:rsidR="00372F40">
        <w:rPr>
          <w:rFonts w:ascii="Arial" w:hAnsi="Arial" w:cs="Arial"/>
          <w:sz w:val="20"/>
          <w:szCs w:val="20"/>
          <w:lang w:val="en-GB"/>
        </w:rPr>
        <w:t>IAB-</w:t>
      </w:r>
      <w:r w:rsidRPr="00877A84">
        <w:rPr>
          <w:rFonts w:ascii="Arial" w:hAnsi="Arial" w:cs="Arial"/>
          <w:sz w:val="20"/>
          <w:szCs w:val="20"/>
          <w:lang w:val="en-GB"/>
        </w:rPr>
        <w:t>DU Soft resource in a slot.</w:t>
      </w:r>
      <w:r w:rsidRPr="00877A84">
        <w:rPr>
          <w:rFonts w:ascii="Arial" w:hAnsi="Arial" w:cs="Arial"/>
          <w:sz w:val="20"/>
          <w:szCs w:val="20"/>
          <w:lang w:val="en-GB" w:eastAsia="ja-JP"/>
        </w:rPr>
        <w:t xml:space="preserve"> The </w:t>
      </w:r>
      <w:r w:rsidRPr="00877A84">
        <w:rPr>
          <w:rFonts w:ascii="Arial" w:hAnsi="Arial" w:cs="Arial"/>
          <w:sz w:val="20"/>
          <w:szCs w:val="20"/>
          <w:lang w:val="en-GB"/>
        </w:rPr>
        <w:t>e</w:t>
      </w:r>
      <w:r w:rsidR="00032CA1" w:rsidRPr="00877A84">
        <w:rPr>
          <w:rFonts w:ascii="Arial" w:hAnsi="Arial" w:cs="Arial"/>
          <w:sz w:val="20"/>
          <w:szCs w:val="20"/>
          <w:lang w:val="en-GB"/>
        </w:rPr>
        <w:t>xplicit indication of frequency-domain Soft resource</w:t>
      </w:r>
      <w:r w:rsidRPr="00877A84">
        <w:rPr>
          <w:rFonts w:ascii="Arial" w:hAnsi="Arial" w:cs="Arial"/>
          <w:sz w:val="20"/>
          <w:szCs w:val="20"/>
          <w:lang w:val="en-GB"/>
        </w:rPr>
        <w:t>s</w:t>
      </w:r>
      <w:r w:rsidR="00032CA1" w:rsidRPr="00877A84">
        <w:rPr>
          <w:rFonts w:ascii="Arial" w:hAnsi="Arial" w:cs="Arial"/>
          <w:sz w:val="20"/>
          <w:szCs w:val="20"/>
          <w:lang w:val="en-GB"/>
        </w:rPr>
        <w:t xml:space="preserve"> can be based on similar principles as</w:t>
      </w:r>
      <w:r w:rsidRPr="00877A84">
        <w:rPr>
          <w:rFonts w:ascii="Arial" w:hAnsi="Arial" w:cs="Arial"/>
          <w:sz w:val="20"/>
          <w:szCs w:val="20"/>
          <w:lang w:val="en-GB"/>
        </w:rPr>
        <w:t xml:space="preserve"> the</w:t>
      </w:r>
      <w:r w:rsidR="00032CA1" w:rsidRPr="00877A84">
        <w:rPr>
          <w:rFonts w:ascii="Arial" w:hAnsi="Arial" w:cs="Arial"/>
          <w:sz w:val="20"/>
          <w:szCs w:val="20"/>
          <w:lang w:val="en-GB"/>
        </w:rPr>
        <w:t xml:space="preserve"> time-domain DCI </w:t>
      </w:r>
      <w:r w:rsidRPr="00877A84">
        <w:rPr>
          <w:rFonts w:ascii="Arial" w:hAnsi="Arial" w:cs="Arial"/>
          <w:sz w:val="20"/>
          <w:szCs w:val="20"/>
          <w:lang w:val="en-GB"/>
        </w:rPr>
        <w:t xml:space="preserve">2_5 introduced </w:t>
      </w:r>
      <w:r w:rsidR="00032CA1" w:rsidRPr="00877A84">
        <w:rPr>
          <w:rFonts w:ascii="Arial" w:hAnsi="Arial" w:cs="Arial"/>
          <w:sz w:val="20"/>
          <w:szCs w:val="20"/>
          <w:lang w:val="en-GB"/>
        </w:rPr>
        <w:t>in Rel-16</w:t>
      </w:r>
      <w:r w:rsidR="00E25302" w:rsidRPr="00877A84">
        <w:rPr>
          <w:rFonts w:ascii="Arial" w:hAnsi="Arial" w:cs="Arial"/>
          <w:sz w:val="20"/>
          <w:szCs w:val="20"/>
          <w:lang w:val="en-GB"/>
        </w:rPr>
        <w:t>. According to the agreement from the RAN1#104</w:t>
      </w:r>
      <w:r w:rsidR="00D51D6C">
        <w:rPr>
          <w:rFonts w:ascii="Arial" w:hAnsi="Arial" w:cs="Arial"/>
          <w:sz w:val="20"/>
          <w:szCs w:val="20"/>
          <w:lang w:val="en-GB"/>
        </w:rPr>
        <w:t>bis-</w:t>
      </w:r>
      <w:r w:rsidR="00E25302" w:rsidRPr="00877A84">
        <w:rPr>
          <w:rFonts w:ascii="Arial" w:hAnsi="Arial" w:cs="Arial"/>
          <w:sz w:val="20"/>
          <w:szCs w:val="20"/>
          <w:lang w:val="en-GB"/>
        </w:rPr>
        <w:t>e meeting, the following two options should be considered:</w:t>
      </w:r>
    </w:p>
    <w:p w14:paraId="0D320E93" w14:textId="4E046943" w:rsidR="00A6131E" w:rsidRDefault="00E25302" w:rsidP="00A6131E">
      <w:pPr>
        <w:ind w:firstLine="567"/>
        <w:jc w:val="both"/>
        <w:rPr>
          <w:rFonts w:ascii="Arial" w:hAnsi="Arial" w:cs="Arial"/>
          <w:sz w:val="20"/>
          <w:szCs w:val="20"/>
          <w:lang w:val="en-GB"/>
        </w:rPr>
      </w:pPr>
      <w:r w:rsidRPr="00A6131E">
        <w:rPr>
          <w:rFonts w:ascii="Arial" w:hAnsi="Arial" w:cs="Arial"/>
          <w:b/>
          <w:bCs/>
          <w:sz w:val="20"/>
          <w:szCs w:val="20"/>
          <w:lang w:val="en-GB"/>
        </w:rPr>
        <w:t>Alt. 1</w:t>
      </w:r>
      <w:r w:rsidR="00A6131E" w:rsidRPr="00A6131E">
        <w:rPr>
          <w:rFonts w:ascii="Arial" w:hAnsi="Arial" w:cs="Arial"/>
          <w:b/>
          <w:bCs/>
          <w:sz w:val="20"/>
          <w:szCs w:val="20"/>
          <w:lang w:val="en-GB"/>
        </w:rPr>
        <w:t>:</w:t>
      </w:r>
      <w:r w:rsidRPr="00877A84">
        <w:rPr>
          <w:rFonts w:ascii="Arial" w:hAnsi="Arial" w:cs="Arial"/>
          <w:sz w:val="20"/>
          <w:szCs w:val="20"/>
          <w:lang w:val="en-GB"/>
        </w:rPr>
        <w:t xml:space="preserve"> Separate </w:t>
      </w:r>
      <w:r w:rsidR="00072873">
        <w:rPr>
          <w:rFonts w:ascii="Arial" w:hAnsi="Arial" w:cs="Arial"/>
          <w:sz w:val="20"/>
          <w:szCs w:val="20"/>
          <w:lang w:val="en-GB"/>
        </w:rPr>
        <w:t>TDM and FDM indications</w:t>
      </w:r>
    </w:p>
    <w:p w14:paraId="6AAB0AD2" w14:textId="263A61BF" w:rsidR="00A6131E" w:rsidRDefault="00E25302" w:rsidP="00A6131E">
      <w:pPr>
        <w:ind w:firstLine="567"/>
        <w:jc w:val="both"/>
        <w:rPr>
          <w:rFonts w:ascii="Arial" w:hAnsi="Arial" w:cs="Arial"/>
          <w:sz w:val="20"/>
          <w:szCs w:val="20"/>
          <w:lang w:val="en-GB"/>
        </w:rPr>
      </w:pPr>
      <w:r w:rsidRPr="00A6131E">
        <w:rPr>
          <w:rFonts w:ascii="Arial" w:hAnsi="Arial" w:cs="Arial"/>
          <w:b/>
          <w:bCs/>
          <w:sz w:val="20"/>
          <w:szCs w:val="20"/>
          <w:lang w:val="en-GB"/>
        </w:rPr>
        <w:t>Alt. 2</w:t>
      </w:r>
      <w:r w:rsidR="00A6131E" w:rsidRPr="00A6131E">
        <w:rPr>
          <w:rFonts w:ascii="Arial" w:hAnsi="Arial" w:cs="Arial"/>
          <w:b/>
          <w:bCs/>
          <w:sz w:val="20"/>
          <w:szCs w:val="20"/>
          <w:lang w:val="en-GB"/>
        </w:rPr>
        <w:t>:</w:t>
      </w:r>
      <w:r w:rsidRPr="00877A84">
        <w:rPr>
          <w:rFonts w:ascii="Arial" w:hAnsi="Arial" w:cs="Arial"/>
          <w:sz w:val="20"/>
          <w:szCs w:val="20"/>
          <w:lang w:val="en-GB"/>
        </w:rPr>
        <w:t xml:space="preserve"> Joint </w:t>
      </w:r>
      <w:r w:rsidR="00072873">
        <w:rPr>
          <w:rFonts w:ascii="Arial" w:hAnsi="Arial" w:cs="Arial"/>
          <w:sz w:val="20"/>
          <w:szCs w:val="20"/>
          <w:lang w:val="en-GB"/>
        </w:rPr>
        <w:t>TDM and FDM indications</w:t>
      </w:r>
    </w:p>
    <w:p w14:paraId="192AE538" w14:textId="162FBF20" w:rsidR="0069655B" w:rsidRPr="004F178D" w:rsidRDefault="00072873" w:rsidP="004F178D">
      <w:pPr>
        <w:jc w:val="both"/>
        <w:rPr>
          <w:rFonts w:ascii="Arial" w:hAnsi="Arial" w:cs="Arial"/>
          <w:sz w:val="20"/>
          <w:szCs w:val="20"/>
          <w:lang w:val="en-GB"/>
        </w:rPr>
      </w:pPr>
      <w:r w:rsidRPr="004F178D">
        <w:rPr>
          <w:rFonts w:ascii="Arial" w:hAnsi="Arial" w:cs="Arial"/>
          <w:sz w:val="20"/>
          <w:szCs w:val="20"/>
          <w:lang w:val="en-GB"/>
        </w:rPr>
        <w:t xml:space="preserve">As motivated in Section </w:t>
      </w:r>
      <w:r w:rsidR="0004520E" w:rsidRPr="004F178D">
        <w:rPr>
          <w:rFonts w:ascii="Arial" w:hAnsi="Arial" w:cs="Arial"/>
          <w:sz w:val="20"/>
          <w:szCs w:val="20"/>
          <w:lang w:val="en-GB"/>
        </w:rPr>
        <w:fldChar w:fldCharType="begin"/>
      </w:r>
      <w:r w:rsidR="0004520E" w:rsidRPr="004F178D">
        <w:rPr>
          <w:rFonts w:ascii="Arial" w:hAnsi="Arial" w:cs="Arial"/>
          <w:sz w:val="20"/>
          <w:szCs w:val="20"/>
          <w:lang w:val="en-GB"/>
        </w:rPr>
        <w:instrText xml:space="preserve"> REF _Ref58590315 \r \h </w:instrText>
      </w:r>
      <w:r w:rsidR="004F178D">
        <w:rPr>
          <w:rFonts w:ascii="Arial" w:hAnsi="Arial" w:cs="Arial"/>
          <w:sz w:val="20"/>
          <w:szCs w:val="20"/>
          <w:lang w:val="en-GB"/>
        </w:rPr>
        <w:instrText xml:space="preserve"> \* MERGEFORMAT </w:instrText>
      </w:r>
      <w:r w:rsidR="0004520E" w:rsidRPr="004F178D">
        <w:rPr>
          <w:rFonts w:ascii="Arial" w:hAnsi="Arial" w:cs="Arial"/>
          <w:sz w:val="20"/>
          <w:szCs w:val="20"/>
          <w:lang w:val="en-GB"/>
        </w:rPr>
      </w:r>
      <w:r w:rsidR="0004520E" w:rsidRPr="004F178D">
        <w:rPr>
          <w:rFonts w:ascii="Arial" w:hAnsi="Arial" w:cs="Arial"/>
          <w:sz w:val="20"/>
          <w:szCs w:val="20"/>
          <w:lang w:val="en-GB"/>
        </w:rPr>
        <w:fldChar w:fldCharType="separate"/>
      </w:r>
      <w:r w:rsidR="00301FA3">
        <w:rPr>
          <w:rFonts w:ascii="Arial" w:hAnsi="Arial" w:cs="Arial"/>
          <w:sz w:val="20"/>
          <w:szCs w:val="20"/>
          <w:lang w:val="en-GB"/>
        </w:rPr>
        <w:t>2.1.1</w:t>
      </w:r>
      <w:r w:rsidR="0004520E" w:rsidRPr="004F178D">
        <w:rPr>
          <w:rFonts w:ascii="Arial" w:hAnsi="Arial" w:cs="Arial"/>
          <w:sz w:val="20"/>
          <w:szCs w:val="20"/>
          <w:lang w:val="en-GB"/>
        </w:rPr>
        <w:fldChar w:fldCharType="end"/>
      </w:r>
      <w:r w:rsidRPr="004F178D">
        <w:rPr>
          <w:rFonts w:ascii="Arial" w:hAnsi="Arial" w:cs="Arial"/>
          <w:sz w:val="20"/>
          <w:szCs w:val="20"/>
          <w:lang w:val="en-GB"/>
        </w:rPr>
        <w:t xml:space="preserve">, the TDM and FDM resource configurations should be configured and provided independently, the availability indication of TDM soft resource and FDM soft resource should also be configured and provided interpedently. On the other hand, </w:t>
      </w:r>
      <w:r w:rsidR="00611F0B" w:rsidRPr="004F178D">
        <w:rPr>
          <w:rFonts w:ascii="Arial" w:hAnsi="Arial" w:cs="Arial"/>
          <w:sz w:val="20"/>
          <w:szCs w:val="20"/>
          <w:lang w:val="en-GB"/>
        </w:rPr>
        <w:t xml:space="preserve">in FDM, the availability of time and frequency domain soft resource </w:t>
      </w:r>
      <w:r w:rsidR="00212F06">
        <w:rPr>
          <w:rFonts w:ascii="Arial" w:hAnsi="Arial" w:cs="Arial"/>
          <w:sz w:val="20"/>
          <w:szCs w:val="20"/>
          <w:lang w:val="en-GB"/>
        </w:rPr>
        <w:t>could</w:t>
      </w:r>
      <w:r w:rsidR="00611F0B" w:rsidRPr="004F178D">
        <w:rPr>
          <w:rFonts w:ascii="Arial" w:hAnsi="Arial" w:cs="Arial"/>
          <w:sz w:val="20"/>
          <w:szCs w:val="20"/>
          <w:lang w:val="en-GB"/>
        </w:rPr>
        <w:t xml:space="preserve"> be indicated jointly. </w:t>
      </w:r>
      <w:r w:rsidR="0069655B" w:rsidRPr="004F178D">
        <w:rPr>
          <w:rFonts w:ascii="Arial" w:hAnsi="Arial" w:cs="Arial"/>
          <w:sz w:val="20"/>
          <w:szCs w:val="20"/>
          <w:lang w:val="en-GB"/>
        </w:rPr>
        <w:t xml:space="preserve">To be backwards compatible with the Rel-16 Availability Indication (AI) and </w:t>
      </w:r>
      <w:r w:rsidR="00CC7FB9" w:rsidRPr="004F178D">
        <w:rPr>
          <w:rFonts w:ascii="Arial" w:hAnsi="Arial" w:cs="Arial"/>
          <w:sz w:val="20"/>
          <w:szCs w:val="20"/>
          <w:lang w:val="en-GB"/>
        </w:rPr>
        <w:t xml:space="preserve">to </w:t>
      </w:r>
      <w:r w:rsidR="0069655B" w:rsidRPr="004F178D">
        <w:rPr>
          <w:rFonts w:ascii="Arial" w:hAnsi="Arial" w:cs="Arial"/>
          <w:sz w:val="20"/>
          <w:szCs w:val="20"/>
          <w:lang w:val="en-GB"/>
        </w:rPr>
        <w:t>limit the specification impact, the legacy DCI format 2_5 can be extended to jointly coordinate the usage of the time and frequency Soft resources. In particular, the legacy availability combination table (</w:t>
      </w:r>
      <w:r w:rsidR="0069655B" w:rsidRPr="004F178D">
        <w:rPr>
          <w:rFonts w:ascii="Arial" w:hAnsi="Arial" w:cs="Arial"/>
          <w:i/>
          <w:iCs/>
          <w:sz w:val="20"/>
          <w:szCs w:val="20"/>
          <w:lang w:val="en-GB"/>
        </w:rPr>
        <w:t>availabilityCombinations</w:t>
      </w:r>
      <w:r w:rsidR="0069655B" w:rsidRPr="004F178D">
        <w:rPr>
          <w:rFonts w:ascii="Arial" w:hAnsi="Arial" w:cs="Arial"/>
          <w:sz w:val="20"/>
          <w:szCs w:val="20"/>
          <w:lang w:val="en-GB"/>
        </w:rPr>
        <w:t>) should be reused.</w:t>
      </w:r>
    </w:p>
    <w:p w14:paraId="1DA862BF" w14:textId="77777777" w:rsidR="00936A01" w:rsidRDefault="00770BB5" w:rsidP="007300CA">
      <w:pPr>
        <w:pStyle w:val="Observation"/>
      </w:pPr>
      <w:bookmarkStart w:id="26" w:name="_Toc71637059"/>
      <w:bookmarkStart w:id="27" w:name="_Toc71647893"/>
      <w:bookmarkStart w:id="28" w:name="_Toc61903486"/>
      <w:bookmarkStart w:id="29" w:name="_Toc71663379"/>
      <w:bookmarkEnd w:id="26"/>
      <w:bookmarkEnd w:id="27"/>
      <w:r w:rsidRPr="007B36A4">
        <w:t>F</w:t>
      </w:r>
      <w:r w:rsidR="00032CA1" w:rsidRPr="007B36A4">
        <w:t>or explicit availability indication of frequency-domain Soft resources</w:t>
      </w:r>
      <w:bookmarkEnd w:id="28"/>
      <w:r w:rsidRPr="007B36A4">
        <w:t>, support joint indication of time and frequency Soft resources</w:t>
      </w:r>
      <w:r w:rsidR="001A1496" w:rsidRPr="007B36A4">
        <w:t xml:space="preserve">, including reusing the Rel-16 </w:t>
      </w:r>
      <w:r w:rsidR="001A1496" w:rsidRPr="007B36A4">
        <w:rPr>
          <w:i/>
        </w:rPr>
        <w:t>availabilityCombinations</w:t>
      </w:r>
      <w:r w:rsidR="001A1496" w:rsidRPr="007B36A4">
        <w:t>.</w:t>
      </w:r>
      <w:bookmarkEnd w:id="29"/>
    </w:p>
    <w:p w14:paraId="4029E79C" w14:textId="4925DEBA" w:rsidR="00BE04C0" w:rsidRPr="004F178D" w:rsidRDefault="00BE04C0" w:rsidP="00DA5D41">
      <w:pPr>
        <w:rPr>
          <w:rFonts w:ascii="Arial" w:hAnsi="Arial" w:cs="Arial"/>
          <w:sz w:val="20"/>
          <w:szCs w:val="20"/>
          <w:lang w:val="en-GB"/>
        </w:rPr>
      </w:pPr>
      <w:bookmarkStart w:id="30" w:name="_Toc71634975"/>
      <w:bookmarkStart w:id="31" w:name="_Toc71635317"/>
      <w:bookmarkStart w:id="32" w:name="_Toc71635383"/>
      <w:bookmarkStart w:id="33" w:name="_Toc71635510"/>
      <w:bookmarkStart w:id="34" w:name="_Toc71635705"/>
      <w:bookmarkStart w:id="35" w:name="_Toc71635786"/>
      <w:bookmarkStart w:id="36" w:name="_Toc71635818"/>
      <w:bookmarkStart w:id="37" w:name="_Toc71636111"/>
      <w:bookmarkStart w:id="38" w:name="_Toc71636172"/>
      <w:bookmarkStart w:id="39" w:name="_Toc71636608"/>
      <w:bookmarkStart w:id="40" w:name="_Toc71636682"/>
      <w:bookmarkStart w:id="41" w:name="_Toc71636852"/>
      <w:bookmarkEnd w:id="30"/>
      <w:bookmarkEnd w:id="31"/>
      <w:bookmarkEnd w:id="32"/>
      <w:bookmarkEnd w:id="33"/>
      <w:bookmarkEnd w:id="34"/>
      <w:bookmarkEnd w:id="35"/>
      <w:bookmarkEnd w:id="36"/>
      <w:bookmarkEnd w:id="37"/>
      <w:bookmarkEnd w:id="38"/>
      <w:bookmarkEnd w:id="39"/>
      <w:bookmarkEnd w:id="40"/>
      <w:bookmarkEnd w:id="41"/>
      <w:r w:rsidRPr="004F178D">
        <w:rPr>
          <w:rFonts w:ascii="Arial" w:hAnsi="Arial" w:cs="Arial"/>
          <w:sz w:val="20"/>
          <w:szCs w:val="20"/>
          <w:lang w:val="en-GB"/>
        </w:rPr>
        <w:t xml:space="preserve">Our accompanying contribution </w:t>
      </w:r>
      <w:r w:rsidR="00957AB8" w:rsidRPr="004F178D">
        <w:rPr>
          <w:rFonts w:ascii="Arial" w:hAnsi="Arial" w:cs="Arial"/>
          <w:sz w:val="20"/>
          <w:szCs w:val="20"/>
          <w:lang w:val="en-GB"/>
        </w:rPr>
        <w:fldChar w:fldCharType="begin"/>
      </w:r>
      <w:r w:rsidR="00957AB8" w:rsidRPr="004F178D">
        <w:rPr>
          <w:rFonts w:ascii="Arial" w:hAnsi="Arial" w:cs="Arial"/>
          <w:sz w:val="20"/>
          <w:szCs w:val="20"/>
          <w:lang w:val="en-GB"/>
        </w:rPr>
        <w:instrText xml:space="preserve"> REF _Ref71616395 \r \h </w:instrText>
      </w:r>
      <w:r w:rsidR="004F178D">
        <w:rPr>
          <w:rFonts w:ascii="Arial" w:hAnsi="Arial" w:cs="Arial"/>
          <w:sz w:val="20"/>
          <w:szCs w:val="20"/>
          <w:lang w:val="en-GB"/>
        </w:rPr>
        <w:instrText xml:space="preserve"> \* MERGEFORMAT </w:instrText>
      </w:r>
      <w:r w:rsidR="00957AB8" w:rsidRPr="004F178D">
        <w:rPr>
          <w:rFonts w:ascii="Arial" w:hAnsi="Arial" w:cs="Arial"/>
          <w:sz w:val="20"/>
          <w:szCs w:val="20"/>
          <w:lang w:val="en-GB"/>
        </w:rPr>
      </w:r>
      <w:r w:rsidR="00957AB8" w:rsidRPr="004F178D">
        <w:rPr>
          <w:rFonts w:ascii="Arial" w:hAnsi="Arial" w:cs="Arial"/>
          <w:sz w:val="20"/>
          <w:szCs w:val="20"/>
          <w:lang w:val="en-GB"/>
        </w:rPr>
        <w:fldChar w:fldCharType="separate"/>
      </w:r>
      <w:r w:rsidR="00301FA3">
        <w:rPr>
          <w:rFonts w:ascii="Arial" w:hAnsi="Arial" w:cs="Arial"/>
          <w:sz w:val="20"/>
          <w:szCs w:val="20"/>
          <w:lang w:val="en-GB"/>
        </w:rPr>
        <w:t>[3]</w:t>
      </w:r>
      <w:r w:rsidR="00957AB8" w:rsidRPr="004F178D">
        <w:rPr>
          <w:rFonts w:ascii="Arial" w:hAnsi="Arial" w:cs="Arial"/>
          <w:sz w:val="20"/>
          <w:szCs w:val="20"/>
          <w:lang w:val="en-GB"/>
        </w:rPr>
        <w:fldChar w:fldCharType="end"/>
      </w:r>
      <w:r w:rsidRPr="004F178D">
        <w:rPr>
          <w:rFonts w:ascii="Arial" w:hAnsi="Arial" w:cs="Arial"/>
          <w:sz w:val="20"/>
          <w:szCs w:val="20"/>
          <w:lang w:val="en-GB"/>
        </w:rPr>
        <w:t xml:space="preserve"> has a discussion on the limitation of the DCI Format 2_5 payload size which </w:t>
      </w:r>
      <w:r w:rsidR="00F72C58" w:rsidRPr="004F178D">
        <w:rPr>
          <w:rFonts w:ascii="Arial" w:hAnsi="Arial" w:cs="Arial"/>
          <w:sz w:val="20"/>
          <w:szCs w:val="20"/>
          <w:lang w:val="en-GB"/>
        </w:rPr>
        <w:t>does</w:t>
      </w:r>
      <w:r w:rsidRPr="004F178D">
        <w:rPr>
          <w:rFonts w:ascii="Arial" w:hAnsi="Arial" w:cs="Arial"/>
          <w:sz w:val="20"/>
          <w:szCs w:val="20"/>
          <w:lang w:val="en-GB"/>
        </w:rPr>
        <w:t xml:space="preserve"> not </w:t>
      </w:r>
      <w:r w:rsidR="00F72C58" w:rsidRPr="004F178D">
        <w:rPr>
          <w:rFonts w:ascii="Arial" w:hAnsi="Arial" w:cs="Arial"/>
          <w:sz w:val="20"/>
          <w:szCs w:val="20"/>
          <w:lang w:val="en-GB"/>
        </w:rPr>
        <w:t>allow</w:t>
      </w:r>
      <w:r w:rsidRPr="004F178D">
        <w:rPr>
          <w:rFonts w:ascii="Arial" w:hAnsi="Arial" w:cs="Arial"/>
          <w:sz w:val="20"/>
          <w:szCs w:val="20"/>
          <w:lang w:val="en-GB"/>
        </w:rPr>
        <w:t xml:space="preserve"> to </w:t>
      </w:r>
      <w:r w:rsidR="00BE31B6" w:rsidRPr="004F178D">
        <w:rPr>
          <w:rFonts w:ascii="Arial" w:hAnsi="Arial" w:cs="Arial"/>
          <w:sz w:val="20"/>
          <w:szCs w:val="20"/>
          <w:lang w:val="en-GB"/>
        </w:rPr>
        <w:t>c</w:t>
      </w:r>
      <w:r w:rsidR="00BE31B6">
        <w:rPr>
          <w:rFonts w:ascii="Arial" w:hAnsi="Arial" w:cs="Arial"/>
          <w:sz w:val="20"/>
          <w:szCs w:val="20"/>
          <w:lang w:val="en-GB"/>
        </w:rPr>
        <w:t>o</w:t>
      </w:r>
      <w:r w:rsidR="00BE31B6" w:rsidRPr="004F178D">
        <w:rPr>
          <w:rFonts w:ascii="Arial" w:hAnsi="Arial" w:cs="Arial"/>
          <w:sz w:val="20"/>
          <w:szCs w:val="20"/>
          <w:lang w:val="en-GB"/>
        </w:rPr>
        <w:t>nfigure</w:t>
      </w:r>
      <w:r w:rsidRPr="004F178D">
        <w:rPr>
          <w:rFonts w:ascii="Arial" w:hAnsi="Arial" w:cs="Arial"/>
          <w:sz w:val="20"/>
          <w:szCs w:val="20"/>
          <w:lang w:val="en-GB"/>
        </w:rPr>
        <w:t xml:space="preserve"> the maximum number (512) of IAB-DU cells.   </w:t>
      </w:r>
    </w:p>
    <w:p w14:paraId="1B718E40" w14:textId="2C9042CD" w:rsidR="00F72C58" w:rsidRPr="00313CC5" w:rsidRDefault="00003422" w:rsidP="00836D13">
      <w:pPr>
        <w:jc w:val="both"/>
        <w:rPr>
          <w:rFonts w:ascii="Arial" w:hAnsi="Arial" w:cs="Arial"/>
          <w:sz w:val="20"/>
          <w:szCs w:val="20"/>
          <w:lang w:val="en-GB"/>
        </w:rPr>
      </w:pPr>
      <w:r w:rsidRPr="00313CC5">
        <w:rPr>
          <w:rFonts w:ascii="Arial" w:hAnsi="Arial" w:cs="Arial"/>
          <w:sz w:val="20"/>
          <w:szCs w:val="20"/>
          <w:lang w:val="en-GB"/>
        </w:rPr>
        <w:t>The current maximum payload size for DCI format 2_5 is specified as 128 bits</w:t>
      </w:r>
      <w:r w:rsidR="00AE2A94" w:rsidRPr="00313CC5">
        <w:rPr>
          <w:rFonts w:ascii="Arial" w:hAnsi="Arial" w:cs="Arial"/>
          <w:sz w:val="20"/>
          <w:szCs w:val="20"/>
          <w:lang w:val="en-GB"/>
        </w:rPr>
        <w:t>, see TS 38.212</w:t>
      </w:r>
      <w:r w:rsidR="009F3F96">
        <w:rPr>
          <w:rFonts w:ascii="Arial" w:hAnsi="Arial" w:cs="Arial"/>
          <w:sz w:val="20"/>
          <w:szCs w:val="20"/>
          <w:lang w:val="en-GB"/>
        </w:rPr>
        <w:t xml:space="preserve"> </w:t>
      </w:r>
      <w:r w:rsidR="009F3F96">
        <w:rPr>
          <w:rFonts w:ascii="Arial" w:hAnsi="Arial" w:cs="Arial"/>
          <w:sz w:val="20"/>
          <w:szCs w:val="20"/>
          <w:lang w:val="en-GB"/>
        </w:rPr>
        <w:fldChar w:fldCharType="begin"/>
      </w:r>
      <w:r w:rsidR="009F3F96">
        <w:rPr>
          <w:rFonts w:ascii="Arial" w:hAnsi="Arial" w:cs="Arial"/>
          <w:sz w:val="20"/>
          <w:szCs w:val="20"/>
          <w:lang w:val="en-GB"/>
        </w:rPr>
        <w:instrText xml:space="preserve"> REF _Ref71663095 \r \h </w:instrText>
      </w:r>
      <w:r w:rsidR="009F3F96">
        <w:rPr>
          <w:rFonts w:ascii="Arial" w:hAnsi="Arial" w:cs="Arial"/>
          <w:sz w:val="20"/>
          <w:szCs w:val="20"/>
          <w:lang w:val="en-GB"/>
        </w:rPr>
      </w:r>
      <w:r w:rsidR="009F3F96">
        <w:rPr>
          <w:rFonts w:ascii="Arial" w:hAnsi="Arial" w:cs="Arial"/>
          <w:sz w:val="20"/>
          <w:szCs w:val="20"/>
          <w:lang w:val="en-GB"/>
        </w:rPr>
        <w:fldChar w:fldCharType="separate"/>
      </w:r>
      <w:r w:rsidR="00301FA3">
        <w:rPr>
          <w:rFonts w:ascii="Arial" w:hAnsi="Arial" w:cs="Arial"/>
          <w:sz w:val="20"/>
          <w:szCs w:val="20"/>
          <w:lang w:val="en-GB"/>
        </w:rPr>
        <w:t>[7]</w:t>
      </w:r>
      <w:r w:rsidR="009F3F96">
        <w:rPr>
          <w:rFonts w:ascii="Arial" w:hAnsi="Arial" w:cs="Arial"/>
          <w:sz w:val="20"/>
          <w:szCs w:val="20"/>
          <w:lang w:val="en-GB"/>
        </w:rPr>
        <w:fldChar w:fldCharType="end"/>
      </w:r>
      <w:r w:rsidR="00AE385A" w:rsidRPr="00313CC5">
        <w:rPr>
          <w:rFonts w:ascii="Arial" w:hAnsi="Arial" w:cs="Arial"/>
          <w:sz w:val="20"/>
          <w:szCs w:val="20"/>
          <w:lang w:val="en-GB"/>
        </w:rPr>
        <w:t xml:space="preserve">. </w:t>
      </w:r>
      <w:r w:rsidR="00F72C58" w:rsidRPr="00313CC5">
        <w:rPr>
          <w:rFonts w:ascii="Arial" w:hAnsi="Arial" w:cs="Arial"/>
          <w:sz w:val="20"/>
          <w:szCs w:val="20"/>
          <w:lang w:val="en-GB"/>
        </w:rPr>
        <w:t xml:space="preserve">At the same time, the maximum size for any </w:t>
      </w:r>
      <w:r w:rsidR="001D71E9" w:rsidRPr="00313CC5">
        <w:rPr>
          <w:rFonts w:ascii="Arial" w:hAnsi="Arial" w:cs="Arial"/>
          <w:sz w:val="20"/>
          <w:szCs w:val="20"/>
          <w:lang w:val="en-GB"/>
        </w:rPr>
        <w:t>DCI is 140 bits due to encoding rules for DCIs; the DCI payload bits are attached a 24 bits CRC and together</w:t>
      </w:r>
      <w:r w:rsidR="00A73041" w:rsidRPr="00313CC5">
        <w:rPr>
          <w:rFonts w:ascii="Arial" w:hAnsi="Arial" w:cs="Arial"/>
          <w:sz w:val="20"/>
          <w:szCs w:val="20"/>
          <w:lang w:val="en-GB"/>
        </w:rPr>
        <w:t xml:space="preserve"> they</w:t>
      </w:r>
      <w:r w:rsidR="001D71E9" w:rsidRPr="00313CC5">
        <w:rPr>
          <w:rFonts w:ascii="Arial" w:hAnsi="Arial" w:cs="Arial"/>
          <w:sz w:val="20"/>
          <w:szCs w:val="20"/>
          <w:lang w:val="en-GB"/>
        </w:rPr>
        <w:t xml:space="preserve"> must fit an interleaving pattern of length 164.</w:t>
      </w:r>
      <w:r w:rsidRPr="00313CC5">
        <w:rPr>
          <w:rFonts w:ascii="Arial" w:hAnsi="Arial" w:cs="Arial"/>
          <w:sz w:val="20"/>
          <w:szCs w:val="20"/>
          <w:lang w:val="en-GB"/>
        </w:rPr>
        <w:t xml:space="preserve"> On the other side, assuming a maximum exten</w:t>
      </w:r>
      <w:r w:rsidR="00A73041" w:rsidRPr="00313CC5">
        <w:rPr>
          <w:rFonts w:ascii="Arial" w:hAnsi="Arial" w:cs="Arial"/>
          <w:sz w:val="20"/>
          <w:szCs w:val="20"/>
          <w:lang w:val="en-GB"/>
        </w:rPr>
        <w:t>sion</w:t>
      </w:r>
      <w:r w:rsidRPr="00313CC5">
        <w:rPr>
          <w:rFonts w:ascii="Arial" w:hAnsi="Arial" w:cs="Arial"/>
          <w:sz w:val="20"/>
          <w:szCs w:val="20"/>
          <w:lang w:val="en-GB"/>
        </w:rPr>
        <w:t xml:space="preserve"> of </w:t>
      </w:r>
      <w:r w:rsidRPr="00313CC5">
        <w:rPr>
          <w:rFonts w:ascii="Arial" w:hAnsi="Arial" w:cs="Arial"/>
          <w:i/>
          <w:iCs/>
          <w:sz w:val="20"/>
          <w:szCs w:val="20"/>
          <w:lang w:val="en-GB"/>
        </w:rPr>
        <w:t>availabilityCombinations</w:t>
      </w:r>
      <w:r w:rsidRPr="00313CC5">
        <w:rPr>
          <w:rFonts w:ascii="Arial" w:hAnsi="Arial" w:cs="Arial"/>
          <w:sz w:val="20"/>
          <w:szCs w:val="20"/>
          <w:lang w:val="en-GB"/>
        </w:rPr>
        <w:t xml:space="preserve"> of 512 </w:t>
      </w:r>
      <w:r w:rsidRPr="00313CC5">
        <w:rPr>
          <w:rFonts w:ascii="Arial" w:hAnsi="Arial" w:cs="Arial"/>
          <w:i/>
          <w:iCs/>
          <w:sz w:val="20"/>
          <w:szCs w:val="20"/>
          <w:lang w:val="en-GB"/>
        </w:rPr>
        <w:t>resourceAvailability</w:t>
      </w:r>
      <w:r w:rsidRPr="00313CC5">
        <w:rPr>
          <w:rFonts w:ascii="Arial" w:hAnsi="Arial" w:cs="Arial"/>
          <w:sz w:val="20"/>
          <w:szCs w:val="20"/>
          <w:lang w:val="en-GB"/>
        </w:rPr>
        <w:t xml:space="preserve">(s) (requiring encoding of AI-indices </w:t>
      </w:r>
      <w:r w:rsidR="00B061A7" w:rsidRPr="00313CC5">
        <w:rPr>
          <w:rFonts w:ascii="Arial" w:hAnsi="Arial" w:cs="Arial"/>
          <w:sz w:val="20"/>
          <w:szCs w:val="20"/>
          <w:lang w:val="en-GB"/>
        </w:rPr>
        <w:t>in DCI</w:t>
      </w:r>
      <w:r w:rsidR="00B061A7" w:rsidRPr="00313CC5">
        <w:rPr>
          <w:rFonts w:ascii="Arial" w:hAnsi="Arial" w:cs="Arial"/>
          <w:sz w:val="20"/>
          <w:szCs w:val="20"/>
          <w:lang w:val="en-GB"/>
        </w:rPr>
        <w:t xml:space="preserve"> </w:t>
      </w:r>
      <w:r w:rsidR="001F55E9">
        <w:rPr>
          <w:rFonts w:ascii="Arial" w:hAnsi="Arial" w:cs="Arial"/>
          <w:sz w:val="20"/>
          <w:szCs w:val="20"/>
          <w:lang w:val="en-GB"/>
        </w:rPr>
        <w:t>format</w:t>
      </w:r>
      <w:r w:rsidR="00B061A7">
        <w:rPr>
          <w:rFonts w:ascii="Arial" w:hAnsi="Arial" w:cs="Arial"/>
          <w:sz w:val="20"/>
          <w:szCs w:val="20"/>
          <w:lang w:val="en-GB"/>
        </w:rPr>
        <w:t xml:space="preserve"> </w:t>
      </w:r>
      <w:r w:rsidR="00B061A7" w:rsidRPr="00313CC5">
        <w:rPr>
          <w:rFonts w:ascii="Arial" w:hAnsi="Arial" w:cs="Arial"/>
          <w:sz w:val="20"/>
          <w:szCs w:val="20"/>
          <w:lang w:val="en-GB"/>
        </w:rPr>
        <w:t xml:space="preserve">2_5 </w:t>
      </w:r>
      <w:r w:rsidRPr="00313CC5">
        <w:rPr>
          <w:rFonts w:ascii="Arial" w:hAnsi="Arial" w:cs="Arial"/>
          <w:sz w:val="20"/>
          <w:szCs w:val="20"/>
          <w:lang w:val="en-GB"/>
        </w:rPr>
        <w:t xml:space="preserve">by 9 bits) and considering that the maximum number of IAB-DU cells can be 512, 9*512=4608 bits would be required. Currently, </w:t>
      </w:r>
      <w:r w:rsidR="00263FF1" w:rsidRPr="00313CC5">
        <w:rPr>
          <w:rFonts w:ascii="Arial" w:hAnsi="Arial" w:cs="Arial"/>
          <w:sz w:val="20"/>
          <w:szCs w:val="20"/>
          <w:lang w:val="en-GB"/>
        </w:rPr>
        <w:t xml:space="preserve">the number of </w:t>
      </w:r>
      <w:r w:rsidRPr="00313CC5">
        <w:rPr>
          <w:rFonts w:ascii="Arial" w:hAnsi="Arial" w:cs="Arial"/>
          <w:sz w:val="20"/>
          <w:szCs w:val="20"/>
          <w:lang w:val="en-GB"/>
        </w:rPr>
        <w:t>availability indication</w:t>
      </w:r>
      <w:r w:rsidR="00263FF1" w:rsidRPr="00313CC5">
        <w:rPr>
          <w:rFonts w:ascii="Arial" w:hAnsi="Arial" w:cs="Arial"/>
          <w:sz w:val="20"/>
          <w:szCs w:val="20"/>
          <w:lang w:val="en-GB"/>
        </w:rPr>
        <w:t>s can be limited to</w:t>
      </w:r>
      <w:r w:rsidRPr="00313CC5">
        <w:rPr>
          <w:rFonts w:ascii="Arial" w:hAnsi="Arial" w:cs="Arial"/>
          <w:sz w:val="20"/>
          <w:szCs w:val="20"/>
          <w:lang w:val="en-GB"/>
        </w:rPr>
        <w:t xml:space="preserve"> 14 (=128/9) IAB-DU cells (of maximum 512 IAB-DU cells)</w:t>
      </w:r>
      <w:r w:rsidR="00263FF1" w:rsidRPr="00313CC5">
        <w:rPr>
          <w:rFonts w:ascii="Arial" w:hAnsi="Arial" w:cs="Arial"/>
          <w:sz w:val="20"/>
          <w:szCs w:val="20"/>
          <w:lang w:val="en-GB"/>
        </w:rPr>
        <w:t xml:space="preserve">. Therefore, it should be considered, at least in Rel-17, to enhance DCI format 2_5 in order to provide availability information </w:t>
      </w:r>
      <w:r w:rsidR="00B061A7" w:rsidRPr="00313CC5">
        <w:rPr>
          <w:rFonts w:ascii="Arial" w:hAnsi="Arial" w:cs="Arial"/>
          <w:sz w:val="20"/>
          <w:szCs w:val="20"/>
          <w:lang w:val="en-GB"/>
        </w:rPr>
        <w:t xml:space="preserve">for Soft resources </w:t>
      </w:r>
      <w:r w:rsidR="00263FF1" w:rsidRPr="00313CC5">
        <w:rPr>
          <w:rFonts w:ascii="Arial" w:hAnsi="Arial" w:cs="Arial"/>
          <w:sz w:val="20"/>
          <w:szCs w:val="20"/>
          <w:lang w:val="en-GB"/>
        </w:rPr>
        <w:t>for an increased number of IAB-DU cells</w:t>
      </w:r>
      <w:r w:rsidR="00B061A7" w:rsidRPr="00313CC5">
        <w:rPr>
          <w:rFonts w:ascii="Arial" w:hAnsi="Arial" w:cs="Arial"/>
          <w:sz w:val="20"/>
          <w:szCs w:val="20"/>
          <w:lang w:val="en-GB"/>
        </w:rPr>
        <w:t xml:space="preserve"> without the need </w:t>
      </w:r>
      <w:r w:rsidR="00966BF1" w:rsidRPr="00313CC5">
        <w:rPr>
          <w:rFonts w:ascii="Arial" w:hAnsi="Arial" w:cs="Arial"/>
          <w:sz w:val="20"/>
          <w:szCs w:val="20"/>
          <w:lang w:val="en-GB"/>
        </w:rPr>
        <w:t>to</w:t>
      </w:r>
      <w:r w:rsidR="00B061A7" w:rsidRPr="00313CC5">
        <w:rPr>
          <w:rFonts w:ascii="Arial" w:hAnsi="Arial" w:cs="Arial"/>
          <w:sz w:val="20"/>
          <w:szCs w:val="20"/>
          <w:lang w:val="en-GB"/>
        </w:rPr>
        <w:t xml:space="preserve"> reconfiguring higher layer parameter </w:t>
      </w:r>
      <w:r w:rsidR="00B061A7" w:rsidRPr="00313CC5">
        <w:rPr>
          <w:rFonts w:ascii="Arial" w:hAnsi="Arial" w:cs="Arial"/>
          <w:i/>
          <w:iCs/>
          <w:sz w:val="20"/>
          <w:szCs w:val="20"/>
          <w:lang w:val="en-GB"/>
        </w:rPr>
        <w:t>AvailabilityIndicator</w:t>
      </w:r>
      <w:r w:rsidR="00B061A7" w:rsidRPr="00313CC5">
        <w:rPr>
          <w:rFonts w:ascii="Arial" w:hAnsi="Arial" w:cs="Arial"/>
          <w:sz w:val="20"/>
          <w:szCs w:val="20"/>
          <w:lang w:val="en-GB"/>
        </w:rPr>
        <w:t>.</w:t>
      </w:r>
    </w:p>
    <w:p w14:paraId="0D816440" w14:textId="53CAD9C7" w:rsidR="00BE04C0" w:rsidRDefault="004547D2" w:rsidP="007300CA">
      <w:pPr>
        <w:pStyle w:val="Proposal"/>
      </w:pPr>
      <w:bookmarkStart w:id="42" w:name="_Toc71636130"/>
      <w:bookmarkStart w:id="43" w:name="_Toc71636191"/>
      <w:bookmarkStart w:id="44" w:name="_Toc71636627"/>
      <w:bookmarkStart w:id="45" w:name="_Toc71636701"/>
      <w:bookmarkStart w:id="46" w:name="_Toc71636871"/>
      <w:bookmarkStart w:id="47" w:name="_Toc71637078"/>
      <w:bookmarkStart w:id="48" w:name="_Toc71647911"/>
      <w:bookmarkStart w:id="49" w:name="_Toc71663395"/>
      <w:bookmarkEnd w:id="42"/>
      <w:bookmarkEnd w:id="43"/>
      <w:bookmarkEnd w:id="44"/>
      <w:bookmarkEnd w:id="45"/>
      <w:bookmarkEnd w:id="46"/>
      <w:bookmarkEnd w:id="47"/>
      <w:bookmarkEnd w:id="48"/>
      <w:r w:rsidRPr="007B36A4">
        <w:t>Rel-17</w:t>
      </w:r>
      <w:r w:rsidR="00BE04C0" w:rsidRPr="007B36A4">
        <w:t xml:space="preserve"> enhancement </w:t>
      </w:r>
      <w:r w:rsidRPr="007B36A4">
        <w:t xml:space="preserve">on DCI </w:t>
      </w:r>
      <w:r w:rsidR="001F55E9">
        <w:t xml:space="preserve">format </w:t>
      </w:r>
      <w:r w:rsidRPr="007B36A4">
        <w:t>2_5 should consider extension of</w:t>
      </w:r>
      <w:r w:rsidR="00BE04C0" w:rsidRPr="007B36A4">
        <w:t xml:space="preserve"> the maximum payload size of DCI </w:t>
      </w:r>
      <w:r w:rsidR="001F55E9">
        <w:t>f</w:t>
      </w:r>
      <w:r w:rsidR="00BE04C0" w:rsidRPr="00313CC5">
        <w:t>ormat</w:t>
      </w:r>
      <w:r w:rsidR="00BA69A8" w:rsidRPr="00313CC5">
        <w:t xml:space="preserve"> </w:t>
      </w:r>
      <w:r w:rsidR="00BE04C0" w:rsidRPr="007B36A4">
        <w:t>2_5</w:t>
      </w:r>
      <w:r w:rsidRPr="007B36A4">
        <w:t xml:space="preserve"> to increase the number of IAB-DU cells</w:t>
      </w:r>
      <w:r w:rsidR="00B061A7" w:rsidRPr="007B36A4">
        <w:t xml:space="preserve"> that can be provided with availability</w:t>
      </w:r>
      <w:r w:rsidR="00BA69A8" w:rsidRPr="00313CC5">
        <w:t xml:space="preserve"> </w:t>
      </w:r>
      <w:r w:rsidR="00B061A7" w:rsidRPr="007B36A4">
        <w:t>information for Soft resources</w:t>
      </w:r>
      <w:r w:rsidR="00BE04C0" w:rsidRPr="007B36A4">
        <w:t>.</w:t>
      </w:r>
      <w:bookmarkEnd w:id="49"/>
    </w:p>
    <w:p w14:paraId="624B88A3" w14:textId="68586630" w:rsidR="00032CA1" w:rsidRPr="00313CC5" w:rsidRDefault="00032CA1" w:rsidP="00313CC5">
      <w:pPr>
        <w:pStyle w:val="Heading3"/>
      </w:pPr>
      <w:bookmarkStart w:id="50" w:name="_Ref68176278"/>
      <w:r w:rsidRPr="00313CC5">
        <w:lastRenderedPageBreak/>
        <w:t>Guard symbols for IAB-MT and IAB-DU resource misalignment</w:t>
      </w:r>
      <w:bookmarkEnd w:id="50"/>
    </w:p>
    <w:p w14:paraId="34AD0538" w14:textId="6E7552C2" w:rsidR="00032CA1" w:rsidRPr="007B7A90" w:rsidRDefault="00032CA1" w:rsidP="00872BF6">
      <w:pPr>
        <w:jc w:val="both"/>
        <w:rPr>
          <w:rStyle w:val="IvDbodytextChar"/>
          <w:spacing w:val="0"/>
          <w:sz w:val="20"/>
          <w:szCs w:val="20"/>
          <w:lang w:val="en-GB"/>
        </w:rPr>
      </w:pPr>
      <w:r w:rsidRPr="00877A84">
        <w:rPr>
          <w:rStyle w:val="IvDbodytextChar"/>
          <w:sz w:val="20"/>
          <w:szCs w:val="20"/>
          <w:lang w:val="en-GB"/>
        </w:rPr>
        <w:t xml:space="preserve">The Rel-16 guard symbols between IAB-MT and IAB-DU resources are for the case when both slot </w:t>
      </w:r>
      <w:r w:rsidRPr="00877A84">
        <w:rPr>
          <w:rStyle w:val="IvDbodytextChar"/>
          <w:i/>
          <w:sz w:val="20"/>
          <w:szCs w:val="20"/>
          <w:lang w:val="en-GB"/>
        </w:rPr>
        <w:t>(k-1)</w:t>
      </w:r>
      <w:r w:rsidRPr="00877A84">
        <w:rPr>
          <w:rStyle w:val="IvDbodytextChar"/>
          <w:sz w:val="20"/>
          <w:szCs w:val="20"/>
          <w:lang w:val="en-GB"/>
        </w:rPr>
        <w:t xml:space="preserve"> and slot </w:t>
      </w:r>
      <w:r w:rsidRPr="00877A84">
        <w:rPr>
          <w:rStyle w:val="IvDbodytextChar"/>
          <w:i/>
          <w:sz w:val="20"/>
          <w:szCs w:val="20"/>
          <w:lang w:val="en-GB"/>
        </w:rPr>
        <w:t>k</w:t>
      </w:r>
      <w:r w:rsidRPr="00877A84">
        <w:rPr>
          <w:rStyle w:val="IvDbodytextChar"/>
          <w:sz w:val="20"/>
          <w:szCs w:val="20"/>
          <w:lang w:val="en-GB"/>
        </w:rPr>
        <w:t xml:space="preserve"> operate in Case #1 timing alignment where IAB-MT and IAB-DU are in TDM mode.</w:t>
      </w:r>
      <w:r w:rsidRPr="00877A84">
        <w:rPr>
          <w:rFonts w:ascii="Arial" w:hAnsi="Arial" w:cs="Arial"/>
          <w:sz w:val="20"/>
          <w:szCs w:val="20"/>
          <w:lang w:val="en-GB"/>
        </w:rPr>
        <w:t xml:space="preserve"> Rel-17 IAB takes simultaneous transmission and reception into consideration. As a result, an IAB-node may operate in Case #1, Case #6 or Case #7 timing. When Case #6 timing alignment is used, IAB-MT UL Tx timing is changed to be aligned with IAB-DU DL Tx timing. When Case #7 timing alignment is used, IAB-DU UL Rx timing is changed to be aligned with IAB-MT DL Rx timing. </w:t>
      </w:r>
      <w:r w:rsidRPr="007B7A90">
        <w:rPr>
          <w:rFonts w:ascii="Arial" w:hAnsi="Arial" w:cs="Arial"/>
          <w:sz w:val="20"/>
          <w:szCs w:val="20"/>
          <w:lang w:val="en-GB"/>
        </w:rPr>
        <w:t xml:space="preserve">Accordingly, some of the desired guard symbols will change comparing to the only Case #1 guard symbols when the </w:t>
      </w:r>
      <w:r w:rsidR="003B6072">
        <w:rPr>
          <w:rFonts w:ascii="Arial" w:hAnsi="Arial" w:cs="Arial"/>
          <w:sz w:val="20"/>
          <w:szCs w:val="20"/>
          <w:lang w:val="en-GB"/>
        </w:rPr>
        <w:t>alternative</w:t>
      </w:r>
      <w:r w:rsidRPr="007B7A90">
        <w:rPr>
          <w:rFonts w:ascii="Arial" w:hAnsi="Arial" w:cs="Arial"/>
          <w:sz w:val="20"/>
          <w:szCs w:val="20"/>
          <w:lang w:val="en-GB"/>
        </w:rPr>
        <w:t xml:space="preserve">s of the timing-alignment </w:t>
      </w:r>
      <w:r w:rsidR="00441E58" w:rsidRPr="007B7A90">
        <w:rPr>
          <w:rFonts w:ascii="Arial" w:hAnsi="Arial" w:cs="Arial"/>
          <w:sz w:val="20"/>
          <w:szCs w:val="20"/>
          <w:lang w:val="en-GB"/>
        </w:rPr>
        <w:t xml:space="preserve">combinations </w:t>
      </w:r>
      <w:r w:rsidRPr="007B7A90">
        <w:rPr>
          <w:rFonts w:ascii="Arial" w:hAnsi="Arial" w:cs="Arial"/>
          <w:sz w:val="20"/>
          <w:szCs w:val="20"/>
          <w:lang w:val="en-GB"/>
        </w:rPr>
        <w:t xml:space="preserve">in </w:t>
      </w:r>
      <w:r w:rsidRPr="007B7A90">
        <w:rPr>
          <w:rStyle w:val="IvDbodytextChar"/>
          <w:sz w:val="20"/>
          <w:szCs w:val="20"/>
          <w:lang w:val="en-GB"/>
        </w:rPr>
        <w:t xml:space="preserve">slot </w:t>
      </w:r>
      <w:r w:rsidRPr="007B7A90">
        <w:rPr>
          <w:rStyle w:val="IvDbodytextChar"/>
          <w:i/>
          <w:sz w:val="20"/>
          <w:szCs w:val="20"/>
          <w:lang w:val="en-GB"/>
        </w:rPr>
        <w:t>(k-1)</w:t>
      </w:r>
      <w:r w:rsidRPr="007B7A90">
        <w:rPr>
          <w:rStyle w:val="IvDbodytextChar"/>
          <w:sz w:val="20"/>
          <w:szCs w:val="20"/>
          <w:lang w:val="en-GB"/>
        </w:rPr>
        <w:t xml:space="preserve"> and slot </w:t>
      </w:r>
      <w:r w:rsidRPr="007B7A90">
        <w:rPr>
          <w:rStyle w:val="IvDbodytextChar"/>
          <w:i/>
          <w:sz w:val="20"/>
          <w:szCs w:val="20"/>
          <w:lang w:val="en-GB"/>
        </w:rPr>
        <w:t>k</w:t>
      </w:r>
      <w:r w:rsidRPr="007B7A90">
        <w:rPr>
          <w:rStyle w:val="IvDbodytextChar"/>
          <w:sz w:val="20"/>
          <w:szCs w:val="20"/>
          <w:lang w:val="en-GB"/>
        </w:rPr>
        <w:t xml:space="preserve"> are:</w:t>
      </w:r>
    </w:p>
    <w:p w14:paraId="6CADFACD" w14:textId="77777777" w:rsidR="00032CA1" w:rsidRPr="00C75E69" w:rsidRDefault="00032CA1" w:rsidP="00E9707C">
      <w:pPr>
        <w:pStyle w:val="BodyText"/>
        <w:keepLines/>
        <w:numPr>
          <w:ilvl w:val="0"/>
          <w:numId w:val="18"/>
        </w:numPr>
        <w:tabs>
          <w:tab w:val="left" w:pos="2552"/>
          <w:tab w:val="left" w:pos="3856"/>
          <w:tab w:val="left" w:pos="5216"/>
          <w:tab w:val="left" w:pos="6464"/>
          <w:tab w:val="left" w:pos="7768"/>
          <w:tab w:val="left" w:pos="9072"/>
          <w:tab w:val="left" w:pos="9639"/>
        </w:tabs>
        <w:jc w:val="both"/>
        <w:rPr>
          <w:rFonts w:ascii="Arial" w:hAnsi="Arial" w:cs="Arial"/>
          <w:sz w:val="20"/>
          <w:szCs w:val="20"/>
        </w:rPr>
      </w:pPr>
      <w:r w:rsidRPr="00C75E69">
        <w:rPr>
          <w:rFonts w:ascii="Arial" w:hAnsi="Arial" w:cs="Arial"/>
          <w:sz w:val="20"/>
          <w:szCs w:val="20"/>
        </w:rPr>
        <w:t>Case #1 and Case #6;</w:t>
      </w:r>
    </w:p>
    <w:p w14:paraId="697B72EC" w14:textId="77777777" w:rsidR="00032CA1" w:rsidRPr="00C75E69" w:rsidRDefault="00032CA1" w:rsidP="00E9707C">
      <w:pPr>
        <w:pStyle w:val="BodyText"/>
        <w:keepLines/>
        <w:numPr>
          <w:ilvl w:val="0"/>
          <w:numId w:val="18"/>
        </w:numPr>
        <w:tabs>
          <w:tab w:val="left" w:pos="2552"/>
          <w:tab w:val="left" w:pos="3856"/>
          <w:tab w:val="left" w:pos="5216"/>
          <w:tab w:val="left" w:pos="6464"/>
          <w:tab w:val="left" w:pos="7768"/>
          <w:tab w:val="left" w:pos="9072"/>
          <w:tab w:val="left" w:pos="9639"/>
        </w:tabs>
        <w:jc w:val="both"/>
        <w:rPr>
          <w:rFonts w:ascii="Arial" w:hAnsi="Arial" w:cs="Arial"/>
          <w:sz w:val="20"/>
          <w:szCs w:val="20"/>
        </w:rPr>
      </w:pPr>
      <w:r w:rsidRPr="00C75E69">
        <w:rPr>
          <w:rFonts w:ascii="Arial" w:hAnsi="Arial" w:cs="Arial"/>
          <w:sz w:val="20"/>
          <w:szCs w:val="20"/>
        </w:rPr>
        <w:t>Case #1 and Case #7;</w:t>
      </w:r>
    </w:p>
    <w:p w14:paraId="3FF4A9AA" w14:textId="77777777" w:rsidR="00032CA1" w:rsidRPr="00C75E69" w:rsidRDefault="00032CA1" w:rsidP="00E9707C">
      <w:pPr>
        <w:pStyle w:val="BodyText"/>
        <w:keepLines/>
        <w:numPr>
          <w:ilvl w:val="0"/>
          <w:numId w:val="18"/>
        </w:numPr>
        <w:tabs>
          <w:tab w:val="left" w:pos="2552"/>
          <w:tab w:val="left" w:pos="3856"/>
          <w:tab w:val="left" w:pos="5216"/>
          <w:tab w:val="left" w:pos="6464"/>
          <w:tab w:val="left" w:pos="7768"/>
          <w:tab w:val="left" w:pos="9072"/>
          <w:tab w:val="left" w:pos="9639"/>
        </w:tabs>
        <w:jc w:val="both"/>
        <w:rPr>
          <w:rFonts w:ascii="Arial" w:hAnsi="Arial" w:cs="Arial"/>
          <w:sz w:val="20"/>
          <w:szCs w:val="20"/>
        </w:rPr>
      </w:pPr>
      <w:r w:rsidRPr="00C75E69">
        <w:rPr>
          <w:rFonts w:ascii="Arial" w:hAnsi="Arial" w:cs="Arial"/>
          <w:sz w:val="20"/>
          <w:szCs w:val="20"/>
        </w:rPr>
        <w:t>Case #6 and Case #1;</w:t>
      </w:r>
    </w:p>
    <w:p w14:paraId="281DC81C" w14:textId="77777777" w:rsidR="00032CA1" w:rsidRPr="00C75E69" w:rsidRDefault="00032CA1" w:rsidP="00E9707C">
      <w:pPr>
        <w:pStyle w:val="BodyText"/>
        <w:keepLines/>
        <w:numPr>
          <w:ilvl w:val="0"/>
          <w:numId w:val="18"/>
        </w:numPr>
        <w:tabs>
          <w:tab w:val="left" w:pos="2552"/>
          <w:tab w:val="left" w:pos="3856"/>
          <w:tab w:val="left" w:pos="5216"/>
          <w:tab w:val="left" w:pos="6464"/>
          <w:tab w:val="left" w:pos="7768"/>
          <w:tab w:val="left" w:pos="9072"/>
          <w:tab w:val="left" w:pos="9639"/>
        </w:tabs>
        <w:jc w:val="both"/>
        <w:rPr>
          <w:rFonts w:ascii="Arial" w:hAnsi="Arial" w:cs="Arial"/>
          <w:sz w:val="20"/>
          <w:szCs w:val="20"/>
        </w:rPr>
      </w:pPr>
      <w:r w:rsidRPr="00C75E69">
        <w:rPr>
          <w:rFonts w:ascii="Arial" w:hAnsi="Arial" w:cs="Arial"/>
          <w:sz w:val="20"/>
          <w:szCs w:val="20"/>
        </w:rPr>
        <w:t>Case #7 and Case #1;</w:t>
      </w:r>
    </w:p>
    <w:p w14:paraId="19929C7C" w14:textId="77777777" w:rsidR="00032CA1" w:rsidRPr="00C75E69" w:rsidRDefault="00032CA1" w:rsidP="00E9707C">
      <w:pPr>
        <w:pStyle w:val="BodyText"/>
        <w:keepLines/>
        <w:numPr>
          <w:ilvl w:val="0"/>
          <w:numId w:val="18"/>
        </w:numPr>
        <w:tabs>
          <w:tab w:val="left" w:pos="2552"/>
          <w:tab w:val="left" w:pos="3856"/>
          <w:tab w:val="left" w:pos="5216"/>
          <w:tab w:val="left" w:pos="6464"/>
          <w:tab w:val="left" w:pos="7768"/>
          <w:tab w:val="left" w:pos="9072"/>
          <w:tab w:val="left" w:pos="9639"/>
        </w:tabs>
        <w:jc w:val="both"/>
        <w:rPr>
          <w:rFonts w:ascii="Arial" w:hAnsi="Arial" w:cs="Arial"/>
          <w:sz w:val="20"/>
          <w:szCs w:val="20"/>
        </w:rPr>
      </w:pPr>
      <w:r w:rsidRPr="00C75E69">
        <w:rPr>
          <w:rFonts w:ascii="Arial" w:hAnsi="Arial" w:cs="Arial"/>
          <w:sz w:val="20"/>
          <w:szCs w:val="20"/>
        </w:rPr>
        <w:t>Case #6 and Case #7;</w:t>
      </w:r>
    </w:p>
    <w:p w14:paraId="288A115F" w14:textId="77777777" w:rsidR="00032CA1" w:rsidRPr="00C75E69" w:rsidRDefault="00032CA1" w:rsidP="00E9707C">
      <w:pPr>
        <w:pStyle w:val="BodyText"/>
        <w:keepLines/>
        <w:numPr>
          <w:ilvl w:val="0"/>
          <w:numId w:val="18"/>
        </w:numPr>
        <w:tabs>
          <w:tab w:val="left" w:pos="2552"/>
          <w:tab w:val="left" w:pos="3856"/>
          <w:tab w:val="left" w:pos="5216"/>
          <w:tab w:val="left" w:pos="6464"/>
          <w:tab w:val="left" w:pos="7768"/>
          <w:tab w:val="left" w:pos="9072"/>
          <w:tab w:val="left" w:pos="9639"/>
        </w:tabs>
        <w:jc w:val="both"/>
        <w:rPr>
          <w:rFonts w:ascii="Arial" w:hAnsi="Arial" w:cs="Arial"/>
          <w:sz w:val="20"/>
          <w:szCs w:val="20"/>
        </w:rPr>
      </w:pPr>
      <w:r w:rsidRPr="00C75E69">
        <w:rPr>
          <w:rFonts w:ascii="Arial" w:hAnsi="Arial" w:cs="Arial"/>
          <w:sz w:val="20"/>
          <w:szCs w:val="20"/>
        </w:rPr>
        <w:t>Case #7 and Case #6;</w:t>
      </w:r>
    </w:p>
    <w:p w14:paraId="53C9388F" w14:textId="77777777" w:rsidR="00032CA1" w:rsidRPr="00C75E69" w:rsidRDefault="00032CA1" w:rsidP="00E9707C">
      <w:pPr>
        <w:pStyle w:val="BodyText"/>
        <w:keepLines/>
        <w:numPr>
          <w:ilvl w:val="0"/>
          <w:numId w:val="18"/>
        </w:numPr>
        <w:tabs>
          <w:tab w:val="left" w:pos="2552"/>
          <w:tab w:val="left" w:pos="3856"/>
          <w:tab w:val="left" w:pos="5216"/>
          <w:tab w:val="left" w:pos="6464"/>
          <w:tab w:val="left" w:pos="7768"/>
          <w:tab w:val="left" w:pos="9072"/>
          <w:tab w:val="left" w:pos="9639"/>
        </w:tabs>
        <w:jc w:val="both"/>
        <w:rPr>
          <w:rFonts w:ascii="Arial" w:hAnsi="Arial" w:cs="Arial"/>
          <w:sz w:val="20"/>
          <w:szCs w:val="20"/>
        </w:rPr>
      </w:pPr>
      <w:r w:rsidRPr="00C75E69">
        <w:rPr>
          <w:rFonts w:ascii="Arial" w:hAnsi="Arial" w:cs="Arial"/>
          <w:sz w:val="20"/>
          <w:szCs w:val="20"/>
        </w:rPr>
        <w:t xml:space="preserve">Case #6 and Case #6; and </w:t>
      </w:r>
    </w:p>
    <w:p w14:paraId="698BB7FD" w14:textId="77777777" w:rsidR="00032CA1" w:rsidRPr="00C75E69" w:rsidRDefault="00032CA1" w:rsidP="00E9707C">
      <w:pPr>
        <w:pStyle w:val="BodyText"/>
        <w:keepLines/>
        <w:numPr>
          <w:ilvl w:val="0"/>
          <w:numId w:val="18"/>
        </w:numPr>
        <w:tabs>
          <w:tab w:val="left" w:pos="2552"/>
          <w:tab w:val="left" w:pos="3856"/>
          <w:tab w:val="left" w:pos="5216"/>
          <w:tab w:val="left" w:pos="6464"/>
          <w:tab w:val="left" w:pos="7768"/>
          <w:tab w:val="left" w:pos="9072"/>
          <w:tab w:val="left" w:pos="9639"/>
        </w:tabs>
        <w:jc w:val="both"/>
        <w:rPr>
          <w:rFonts w:ascii="Arial" w:hAnsi="Arial" w:cs="Arial"/>
          <w:sz w:val="20"/>
          <w:szCs w:val="20"/>
        </w:rPr>
      </w:pPr>
      <w:r w:rsidRPr="00C75E69">
        <w:rPr>
          <w:rFonts w:ascii="Arial" w:hAnsi="Arial" w:cs="Arial"/>
          <w:sz w:val="20"/>
          <w:szCs w:val="20"/>
        </w:rPr>
        <w:t>Case #7 and Case #7.</w:t>
      </w:r>
    </w:p>
    <w:p w14:paraId="301E5049" w14:textId="685BD405" w:rsidR="00032CA1" w:rsidRPr="00877A84" w:rsidRDefault="00032CA1" w:rsidP="00872BF6">
      <w:pPr>
        <w:pStyle w:val="BodyText"/>
        <w:keepLines/>
        <w:tabs>
          <w:tab w:val="left" w:pos="2552"/>
          <w:tab w:val="left" w:pos="3856"/>
          <w:tab w:val="left" w:pos="5216"/>
          <w:tab w:val="left" w:pos="6464"/>
          <w:tab w:val="left" w:pos="7768"/>
          <w:tab w:val="left" w:pos="9072"/>
          <w:tab w:val="left" w:pos="9639"/>
        </w:tabs>
        <w:spacing w:before="240"/>
        <w:jc w:val="both"/>
        <w:rPr>
          <w:rFonts w:ascii="Arial" w:hAnsi="Arial" w:cs="Arial"/>
          <w:lang w:val="en-GB"/>
        </w:rPr>
      </w:pPr>
      <w:r w:rsidRPr="007B7A90">
        <w:rPr>
          <w:rFonts w:ascii="Arial" w:hAnsi="Arial" w:cs="Arial"/>
          <w:sz w:val="20"/>
          <w:szCs w:val="20"/>
          <w:lang w:val="en-GB"/>
        </w:rPr>
        <w:t>Consider that a Rel-17 IAB-node may need to frequent</w:t>
      </w:r>
      <w:r w:rsidR="00546962" w:rsidRPr="009D434C">
        <w:rPr>
          <w:rFonts w:ascii="Arial" w:hAnsi="Arial" w:cs="Arial"/>
          <w:sz w:val="20"/>
          <w:szCs w:val="20"/>
          <w:lang w:val="en-GB"/>
        </w:rPr>
        <w:t>ly</w:t>
      </w:r>
      <w:r w:rsidRPr="007B7A90">
        <w:rPr>
          <w:rFonts w:ascii="Arial" w:hAnsi="Arial" w:cs="Arial"/>
          <w:sz w:val="20"/>
          <w:szCs w:val="20"/>
          <w:lang w:val="en-GB"/>
        </w:rPr>
        <w:t xml:space="preserve"> switch among Case #1, Case #6 and Case #7 timing. </w:t>
      </w:r>
      <w:r w:rsidRPr="009D434C">
        <w:rPr>
          <w:rFonts w:ascii="Arial" w:hAnsi="Arial" w:cs="Arial"/>
          <w:sz w:val="20"/>
          <w:szCs w:val="20"/>
          <w:lang w:val="en-GB"/>
        </w:rPr>
        <w:t>It is not efficient from a signal</w:t>
      </w:r>
      <w:r w:rsidR="00441E58" w:rsidRPr="009D434C">
        <w:rPr>
          <w:rFonts w:ascii="Arial" w:hAnsi="Arial" w:cs="Arial"/>
          <w:sz w:val="20"/>
          <w:szCs w:val="20"/>
          <w:lang w:val="en-GB"/>
        </w:rPr>
        <w:t>l</w:t>
      </w:r>
      <w:r w:rsidRPr="009D434C">
        <w:rPr>
          <w:rFonts w:ascii="Arial" w:hAnsi="Arial" w:cs="Arial"/>
          <w:sz w:val="20"/>
          <w:szCs w:val="20"/>
          <w:lang w:val="en-GB"/>
        </w:rPr>
        <w:t xml:space="preserve">ing overhead perspective for an IAB-node and its parent node to exchange information of guard symbols every time the timing case switches. The reason is that guard symbols for each timing case is predictable and relatively static. An IAB-node can instead send groups of Desired Guard Symbols to a parent node regarding different timing-case switching as listed above. Correspondingly, the parent node sends groups of Provided Guard Symbols to the IAB-node. </w:t>
      </w:r>
      <w:r w:rsidRPr="007B7A90">
        <w:rPr>
          <w:rFonts w:ascii="Arial" w:hAnsi="Arial" w:cs="Arial"/>
          <w:sz w:val="20"/>
          <w:szCs w:val="20"/>
          <w:lang w:val="en-GB"/>
        </w:rPr>
        <w:t>When the IAB-node changes its operation mode and thereby uses a different timing-alignment case, both IAB-node and parent node can switch fast without extra signa</w:t>
      </w:r>
      <w:r w:rsidR="00441E58" w:rsidRPr="007B7A90">
        <w:rPr>
          <w:rFonts w:ascii="Arial" w:hAnsi="Arial" w:cs="Arial"/>
          <w:sz w:val="20"/>
          <w:szCs w:val="20"/>
          <w:lang w:val="en-GB"/>
        </w:rPr>
        <w:t>l</w:t>
      </w:r>
      <w:r w:rsidRPr="007B7A90">
        <w:rPr>
          <w:rFonts w:ascii="Arial" w:hAnsi="Arial" w:cs="Arial"/>
          <w:sz w:val="20"/>
          <w:szCs w:val="20"/>
          <w:lang w:val="en-GB"/>
        </w:rPr>
        <w:t>ling exchange to use the corresponding group of guard symbols</w:t>
      </w:r>
      <w:r w:rsidR="00441E58" w:rsidRPr="007B7A90">
        <w:rPr>
          <w:rFonts w:ascii="Arial" w:hAnsi="Arial" w:cs="Arial"/>
          <w:sz w:val="20"/>
          <w:szCs w:val="20"/>
          <w:lang w:val="en-GB"/>
        </w:rPr>
        <w:t>, indicating on the set of guard symbol combinations to use</w:t>
      </w:r>
      <w:r w:rsidRPr="007B7A90">
        <w:rPr>
          <w:rFonts w:ascii="Arial" w:hAnsi="Arial" w:cs="Arial"/>
          <w:sz w:val="20"/>
          <w:szCs w:val="20"/>
          <w:lang w:val="en-GB"/>
        </w:rPr>
        <w:t xml:space="preserve">. </w:t>
      </w:r>
      <w:r w:rsidRPr="00877A84">
        <w:rPr>
          <w:rFonts w:ascii="Arial" w:hAnsi="Arial" w:cs="Arial"/>
          <w:sz w:val="20"/>
          <w:szCs w:val="20"/>
          <w:lang w:val="en-GB"/>
        </w:rPr>
        <w:t xml:space="preserve">Different groups of guard symbols can be composed as in </w:t>
      </w:r>
      <w:r w:rsidRPr="00C75E69">
        <w:rPr>
          <w:rFonts w:ascii="Arial" w:hAnsi="Arial" w:cs="Arial"/>
          <w:sz w:val="20"/>
          <w:szCs w:val="20"/>
        </w:rPr>
        <w:fldChar w:fldCharType="begin"/>
      </w:r>
      <w:r w:rsidRPr="009D434C">
        <w:rPr>
          <w:rFonts w:ascii="Arial" w:hAnsi="Arial" w:cs="Arial"/>
          <w:sz w:val="20"/>
          <w:szCs w:val="20"/>
          <w:lang w:val="en-GB"/>
        </w:rPr>
        <w:instrText xml:space="preserve"> REF _Ref58939286 \h  \* MERGEFORMAT </w:instrText>
      </w:r>
      <w:r w:rsidRPr="00C75E69">
        <w:rPr>
          <w:rFonts w:ascii="Arial" w:hAnsi="Arial" w:cs="Arial"/>
          <w:sz w:val="20"/>
          <w:szCs w:val="20"/>
        </w:rPr>
      </w:r>
      <w:r w:rsidRPr="00C75E69">
        <w:rPr>
          <w:rFonts w:ascii="Arial" w:hAnsi="Arial" w:cs="Arial"/>
          <w:sz w:val="20"/>
          <w:szCs w:val="20"/>
        </w:rPr>
        <w:fldChar w:fldCharType="separate"/>
      </w:r>
      <w:r w:rsidR="00301FA3" w:rsidRPr="00301FA3">
        <w:rPr>
          <w:rFonts w:ascii="Arial" w:hAnsi="Arial" w:cs="Arial"/>
          <w:sz w:val="20"/>
          <w:szCs w:val="20"/>
          <w:lang w:val="en-GB"/>
        </w:rPr>
        <w:t>Figure 3</w:t>
      </w:r>
      <w:r w:rsidRPr="00C75E69">
        <w:rPr>
          <w:rFonts w:ascii="Arial" w:hAnsi="Arial" w:cs="Arial"/>
          <w:sz w:val="20"/>
          <w:szCs w:val="20"/>
        </w:rPr>
        <w:fldChar w:fldCharType="end"/>
      </w:r>
      <w:r w:rsidRPr="00877A84">
        <w:rPr>
          <w:rFonts w:ascii="Arial" w:hAnsi="Arial" w:cs="Arial"/>
          <w:sz w:val="20"/>
          <w:szCs w:val="20"/>
          <w:lang w:val="en-GB"/>
        </w:rPr>
        <w:t>.</w:t>
      </w:r>
    </w:p>
    <w:p w14:paraId="15FABF2A" w14:textId="77777777" w:rsidR="00032CA1" w:rsidRPr="00C75E69" w:rsidRDefault="00032CA1" w:rsidP="006740AE">
      <w:pPr>
        <w:pStyle w:val="BodyText"/>
        <w:keepLines/>
        <w:tabs>
          <w:tab w:val="left" w:pos="2552"/>
          <w:tab w:val="left" w:pos="3856"/>
          <w:tab w:val="left" w:pos="5216"/>
          <w:tab w:val="left" w:pos="6464"/>
          <w:tab w:val="left" w:pos="7768"/>
          <w:tab w:val="left" w:pos="9072"/>
          <w:tab w:val="left" w:pos="9639"/>
        </w:tabs>
        <w:spacing w:before="240"/>
        <w:jc w:val="both"/>
      </w:pPr>
      <w:r>
        <w:rPr>
          <w:noProof/>
        </w:rPr>
        <w:lastRenderedPageBreak/>
        <w:drawing>
          <wp:inline distT="0" distB="0" distL="0" distR="0" wp14:anchorId="336A34DD" wp14:editId="021FB446">
            <wp:extent cx="4712402" cy="48087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0">
                      <a:extLst>
                        <a:ext uri="{28A0092B-C50C-407E-A947-70E740481C1C}">
                          <a14:useLocalDpi xmlns:a14="http://schemas.microsoft.com/office/drawing/2010/main" val="0"/>
                        </a:ext>
                      </a:extLst>
                    </a:blip>
                    <a:stretch>
                      <a:fillRect/>
                    </a:stretch>
                  </pic:blipFill>
                  <pic:spPr>
                    <a:xfrm>
                      <a:off x="0" y="0"/>
                      <a:ext cx="4712402" cy="4808756"/>
                    </a:xfrm>
                    <a:prstGeom prst="rect">
                      <a:avLst/>
                    </a:prstGeom>
                  </pic:spPr>
                </pic:pic>
              </a:graphicData>
            </a:graphic>
          </wp:inline>
        </w:drawing>
      </w:r>
    </w:p>
    <w:p w14:paraId="23CBC4CD" w14:textId="79CAB9F8" w:rsidR="00032CA1" w:rsidRPr="00846F6F" w:rsidRDefault="00032CA1" w:rsidP="006740AE">
      <w:pPr>
        <w:pStyle w:val="Caption"/>
        <w:jc w:val="both"/>
        <w:rPr>
          <w:lang w:val="en-GB"/>
        </w:rPr>
      </w:pPr>
      <w:bookmarkStart w:id="51" w:name="_Ref58939286"/>
      <w:r w:rsidRPr="00877A84">
        <w:rPr>
          <w:lang w:val="en-GB"/>
        </w:rPr>
        <w:t xml:space="preserve">Figure </w:t>
      </w:r>
      <w:r w:rsidRPr="00C75E69">
        <w:fldChar w:fldCharType="begin"/>
      </w:r>
      <w:r w:rsidRPr="009D434C">
        <w:rPr>
          <w:lang w:val="en-GB"/>
        </w:rPr>
        <w:instrText xml:space="preserve"> SEQ Figure \* ARABIC </w:instrText>
      </w:r>
      <w:r w:rsidRPr="00C75E69">
        <w:fldChar w:fldCharType="separate"/>
      </w:r>
      <w:r w:rsidR="00301FA3">
        <w:rPr>
          <w:noProof/>
          <w:lang w:val="en-GB"/>
        </w:rPr>
        <w:t>3</w:t>
      </w:r>
      <w:r w:rsidRPr="00C75E69">
        <w:fldChar w:fldCharType="end"/>
      </w:r>
      <w:bookmarkEnd w:id="51"/>
      <w:r w:rsidRPr="00846F6F">
        <w:rPr>
          <w:lang w:val="en-GB"/>
        </w:rPr>
        <w:t>: Potential groups of Desired/Provided Guard Symbols for Rel-17 IAB enhancement.</w:t>
      </w:r>
    </w:p>
    <w:p w14:paraId="7299E6B3" w14:textId="3885F81F" w:rsidR="000031E5" w:rsidRPr="007B7A90" w:rsidRDefault="00032CA1" w:rsidP="007300CA">
      <w:pPr>
        <w:pStyle w:val="Proposal"/>
        <w:rPr>
          <w:lang w:eastAsia="en-GB"/>
        </w:rPr>
      </w:pPr>
      <w:bookmarkStart w:id="52" w:name="_Toc61903487"/>
      <w:bookmarkStart w:id="53" w:name="_Toc71663396"/>
      <w:r w:rsidRPr="003F6C0D">
        <w:t>Desired/Provided Guard Symbols are signal</w:t>
      </w:r>
      <w:r w:rsidR="000B383E" w:rsidRPr="003F6C0D">
        <w:t>l</w:t>
      </w:r>
      <w:r w:rsidRPr="003F6C0D">
        <w:t xml:space="preserve">ed in multiple groups that </w:t>
      </w:r>
      <w:r w:rsidRPr="007B7A90">
        <w:rPr>
          <w:lang w:eastAsia="en-GB"/>
        </w:rPr>
        <w:t xml:space="preserve">covers all </w:t>
      </w:r>
      <w:r w:rsidR="008958CA">
        <w:rPr>
          <w:lang w:eastAsia="en-GB"/>
        </w:rPr>
        <w:t>relevant</w:t>
      </w:r>
      <w:r w:rsidR="000C7640">
        <w:rPr>
          <w:lang w:eastAsia="en-GB"/>
        </w:rPr>
        <w:t xml:space="preserve"> </w:t>
      </w:r>
      <w:r w:rsidRPr="007B7A90">
        <w:rPr>
          <w:lang w:eastAsia="en-GB"/>
        </w:rPr>
        <w:t xml:space="preserve">switching combinations among </w:t>
      </w:r>
      <w:r w:rsidRPr="003F6C0D">
        <w:t>Case #1, Case #6 and Case #7 timing alignment</w:t>
      </w:r>
      <w:bookmarkEnd w:id="52"/>
      <w:r w:rsidR="0091131A" w:rsidRPr="003F6C0D">
        <w:t>.</w:t>
      </w:r>
      <w:bookmarkEnd w:id="53"/>
    </w:p>
    <w:p w14:paraId="3B6721BC" w14:textId="2CFEF277" w:rsidR="00F74F17" w:rsidRPr="002C492D" w:rsidRDefault="0047328E" w:rsidP="00872BF6">
      <w:pPr>
        <w:pStyle w:val="Heading2"/>
        <w:jc w:val="both"/>
      </w:pPr>
      <w:r w:rsidRPr="00C75E69">
        <w:t>SDM-based simultaneous operation</w:t>
      </w:r>
    </w:p>
    <w:p w14:paraId="255F7831" w14:textId="4A624C8E" w:rsidR="003230F6" w:rsidRPr="00877A84" w:rsidRDefault="003230F6" w:rsidP="003230F6">
      <w:pPr>
        <w:jc w:val="both"/>
        <w:rPr>
          <w:rFonts w:ascii="Arial" w:hAnsi="Arial" w:cs="Arial"/>
          <w:sz w:val="20"/>
          <w:szCs w:val="20"/>
          <w:lang w:val="en-GB" w:eastAsia="ja-JP"/>
        </w:rPr>
      </w:pPr>
      <w:r w:rsidRPr="00877A84">
        <w:rPr>
          <w:rFonts w:ascii="Arial" w:hAnsi="Arial" w:cs="Arial"/>
          <w:sz w:val="20"/>
          <w:szCs w:val="20"/>
          <w:lang w:val="en-GB" w:eastAsia="ja-JP"/>
        </w:rPr>
        <w:t xml:space="preserve">For simultaneous operation, it is also possible to envision space domain </w:t>
      </w:r>
      <w:r w:rsidR="00D96E39" w:rsidRPr="00877A84">
        <w:rPr>
          <w:rFonts w:ascii="Arial" w:hAnsi="Arial" w:cs="Arial"/>
          <w:sz w:val="20"/>
          <w:szCs w:val="20"/>
          <w:lang w:val="en-GB"/>
        </w:rPr>
        <w:t>multiplexing</w:t>
      </w:r>
      <w:r w:rsidRPr="00877A84">
        <w:rPr>
          <w:rFonts w:ascii="Arial" w:hAnsi="Arial" w:cs="Arial"/>
          <w:sz w:val="20"/>
          <w:szCs w:val="20"/>
          <w:lang w:val="en-GB"/>
        </w:rPr>
        <w:t xml:space="preserve"> </w:t>
      </w:r>
      <w:r w:rsidRPr="00877A84">
        <w:rPr>
          <w:rFonts w:ascii="Arial" w:hAnsi="Arial" w:cs="Arial"/>
          <w:sz w:val="20"/>
          <w:szCs w:val="20"/>
          <w:lang w:val="en-GB" w:eastAsia="ja-JP"/>
        </w:rPr>
        <w:t xml:space="preserve">of resources. </w:t>
      </w:r>
      <w:r w:rsidRPr="00877A84">
        <w:rPr>
          <w:rFonts w:ascii="Arial" w:hAnsi="Arial" w:cs="Arial"/>
          <w:sz w:val="20"/>
          <w:szCs w:val="20"/>
          <w:lang w:val="en-GB"/>
        </w:rPr>
        <w:t>The space domain differs compared to time and frequency domain multiplexing in the sense that the same time-frequency resources would be available to both the IAB-DU and IAB-MT as long as interference is limited.</w:t>
      </w:r>
      <w:r w:rsidRPr="00877A84">
        <w:rPr>
          <w:rFonts w:ascii="Arial" w:hAnsi="Arial" w:cs="Arial"/>
          <w:sz w:val="20"/>
          <w:szCs w:val="20"/>
          <w:lang w:val="en-GB" w:eastAsia="ja-JP"/>
        </w:rPr>
        <w:t xml:space="preserve"> </w:t>
      </w:r>
    </w:p>
    <w:p w14:paraId="48C7D2DC" w14:textId="61AA3FDB" w:rsidR="003230F6" w:rsidRPr="00877A84" w:rsidRDefault="003230F6" w:rsidP="003230F6">
      <w:pPr>
        <w:jc w:val="both"/>
        <w:rPr>
          <w:rFonts w:ascii="Arial" w:hAnsi="Arial" w:cs="Arial"/>
          <w:sz w:val="20"/>
          <w:szCs w:val="20"/>
          <w:lang w:val="en-GB" w:eastAsia="ja-JP"/>
        </w:rPr>
      </w:pPr>
      <w:r w:rsidRPr="00877A84">
        <w:rPr>
          <w:rFonts w:ascii="Arial" w:hAnsi="Arial" w:cs="Arial"/>
          <w:sz w:val="20"/>
          <w:szCs w:val="20"/>
          <w:lang w:val="en-GB"/>
        </w:rPr>
        <w:t>In RAN1#10</w:t>
      </w:r>
      <w:r>
        <w:rPr>
          <w:rFonts w:ascii="Arial" w:hAnsi="Arial" w:cs="Arial"/>
          <w:sz w:val="20"/>
          <w:szCs w:val="20"/>
          <w:lang w:val="en-GB"/>
        </w:rPr>
        <w:t>4bis-e</w:t>
      </w:r>
      <w:r w:rsidRPr="00877A84">
        <w:rPr>
          <w:rFonts w:ascii="Arial" w:hAnsi="Arial" w:cs="Arial"/>
          <w:sz w:val="20"/>
          <w:szCs w:val="20"/>
          <w:lang w:val="en-GB"/>
        </w:rPr>
        <w:t xml:space="preserve"> the following objectives of spatial domain resource multiplexing were agreed</w:t>
      </w:r>
      <w:r>
        <w:rPr>
          <w:rFonts w:ascii="Arial" w:hAnsi="Arial" w:cs="Arial"/>
          <w:sz w:val="20"/>
          <w:szCs w:val="20"/>
          <w:lang w:val="en-GB"/>
        </w:rPr>
        <w:t xml:space="preserve"> </w:t>
      </w:r>
      <w:r>
        <w:rPr>
          <w:rFonts w:ascii="Arial" w:hAnsi="Arial" w:cs="Arial"/>
          <w:sz w:val="20"/>
          <w:szCs w:val="20"/>
        </w:rPr>
        <w:fldChar w:fldCharType="begin"/>
      </w:r>
      <w:r>
        <w:rPr>
          <w:rFonts w:ascii="Arial" w:hAnsi="Arial" w:cs="Arial"/>
          <w:sz w:val="20"/>
          <w:szCs w:val="20"/>
          <w:lang w:val="en-GB"/>
        </w:rPr>
        <w:instrText xml:space="preserve"> REF _Ref70195782 \r \h </w:instrText>
      </w:r>
      <w:r w:rsidR="006740AE" w:rsidRPr="00E25D4B">
        <w:rPr>
          <w:rFonts w:ascii="Arial" w:hAnsi="Arial" w:cs="Arial"/>
          <w:sz w:val="20"/>
          <w:szCs w:val="20"/>
          <w:lang w:val="en-GB"/>
        </w:rPr>
        <w:instrText xml:space="preserve"> \* MERGEFORMAT </w:instrText>
      </w:r>
      <w:r>
        <w:rPr>
          <w:rFonts w:ascii="Arial" w:hAnsi="Arial" w:cs="Arial"/>
          <w:sz w:val="20"/>
          <w:szCs w:val="20"/>
        </w:rPr>
      </w:r>
      <w:r>
        <w:rPr>
          <w:rFonts w:ascii="Arial" w:hAnsi="Arial" w:cs="Arial"/>
          <w:sz w:val="20"/>
          <w:szCs w:val="20"/>
        </w:rPr>
        <w:fldChar w:fldCharType="separate"/>
      </w:r>
      <w:r w:rsidR="00301FA3">
        <w:rPr>
          <w:rFonts w:ascii="Arial" w:hAnsi="Arial" w:cs="Arial"/>
          <w:sz w:val="20"/>
          <w:szCs w:val="20"/>
          <w:lang w:val="en-GB"/>
        </w:rPr>
        <w:t>[4]</w:t>
      </w:r>
      <w:r>
        <w:rPr>
          <w:rFonts w:ascii="Arial" w:hAnsi="Arial" w:cs="Arial"/>
          <w:sz w:val="20"/>
          <w:szCs w:val="20"/>
        </w:rPr>
        <w:fldChar w:fldCharType="end"/>
      </w:r>
      <w:r w:rsidRPr="00877A84">
        <w:rPr>
          <w:rFonts w:ascii="Arial" w:hAnsi="Arial" w:cs="Arial"/>
          <w:sz w:val="20"/>
          <w:szCs w:val="20"/>
          <w:lang w:val="en-GB"/>
        </w:rPr>
        <w:t>:</w:t>
      </w:r>
    </w:p>
    <w:tbl>
      <w:tblPr>
        <w:tblStyle w:val="TableGrid"/>
        <w:tblW w:w="0" w:type="auto"/>
        <w:tblLook w:val="04A0" w:firstRow="1" w:lastRow="0" w:firstColumn="1" w:lastColumn="0" w:noHBand="0" w:noVBand="1"/>
      </w:tblPr>
      <w:tblGrid>
        <w:gridCol w:w="9629"/>
      </w:tblGrid>
      <w:tr w:rsidR="003230F6" w:rsidRPr="004A67F8" w14:paraId="5290180C" w14:textId="77777777" w:rsidTr="00CF431B">
        <w:tc>
          <w:tcPr>
            <w:tcW w:w="9629" w:type="dxa"/>
          </w:tcPr>
          <w:p w14:paraId="34F110F9" w14:textId="77777777" w:rsidR="003230F6" w:rsidRPr="00E9707C" w:rsidRDefault="003230F6" w:rsidP="00CF431B">
            <w:pPr>
              <w:contextualSpacing/>
              <w:jc w:val="both"/>
              <w:rPr>
                <w:rFonts w:ascii="Arial" w:hAnsi="Arial" w:cs="Arial"/>
                <w:b/>
                <w:bCs/>
                <w:sz w:val="20"/>
                <w:szCs w:val="20"/>
                <w:highlight w:val="green"/>
                <w:lang w:val="en-GB"/>
              </w:rPr>
            </w:pPr>
            <w:r w:rsidRPr="00E9707C">
              <w:rPr>
                <w:rFonts w:ascii="Arial" w:hAnsi="Arial" w:cs="Arial"/>
                <w:b/>
                <w:bCs/>
                <w:sz w:val="20"/>
                <w:szCs w:val="20"/>
                <w:highlight w:val="green"/>
                <w:lang w:val="en-GB"/>
              </w:rPr>
              <w:t>Agreement</w:t>
            </w:r>
          </w:p>
          <w:p w14:paraId="1F24EC23" w14:textId="77777777" w:rsidR="003230F6" w:rsidRDefault="003230F6" w:rsidP="00CF431B">
            <w:pPr>
              <w:contextualSpacing/>
              <w:jc w:val="both"/>
              <w:rPr>
                <w:rFonts w:ascii="Arial" w:hAnsi="Arial" w:cs="Arial"/>
                <w:sz w:val="20"/>
                <w:szCs w:val="20"/>
                <w:lang w:val="en-GB"/>
              </w:rPr>
            </w:pPr>
            <w:r w:rsidRPr="00E9707C">
              <w:rPr>
                <w:rFonts w:ascii="Arial" w:hAnsi="Arial" w:cs="Arial"/>
                <w:sz w:val="20"/>
                <w:szCs w:val="20"/>
                <w:lang w:val="en-GB"/>
              </w:rPr>
              <w:t>To facilitate simultaneous operations and interference management, dynamic indication for restriction/usage/availability of beams (in upstream and/or downstream directions) is supported</w:t>
            </w:r>
          </w:p>
          <w:p w14:paraId="6683BFB9" w14:textId="77777777" w:rsidR="003230F6" w:rsidRPr="00E9707C" w:rsidRDefault="003230F6" w:rsidP="00CF431B">
            <w:pPr>
              <w:pStyle w:val="ListParagraph"/>
              <w:numPr>
                <w:ilvl w:val="0"/>
                <w:numId w:val="27"/>
              </w:numPr>
              <w:contextualSpacing/>
              <w:jc w:val="both"/>
              <w:rPr>
                <w:rFonts w:ascii="Arial" w:hAnsi="Arial" w:cs="Arial"/>
                <w:sz w:val="20"/>
                <w:szCs w:val="20"/>
                <w:lang w:val="en-GB"/>
              </w:rPr>
            </w:pPr>
            <w:r w:rsidRPr="00E9707C">
              <w:rPr>
                <w:rFonts w:ascii="Arial" w:hAnsi="Arial" w:cs="Arial"/>
                <w:sz w:val="20"/>
                <w:szCs w:val="20"/>
                <w:lang w:val="en-GB"/>
              </w:rPr>
              <w:t>FFS: Applicability to specific multiplexing cases or specific time-frequency resources</w:t>
            </w:r>
          </w:p>
          <w:p w14:paraId="675F0135" w14:textId="77777777" w:rsidR="003230F6" w:rsidRPr="00E9707C" w:rsidRDefault="003230F6" w:rsidP="00CF431B">
            <w:pPr>
              <w:pStyle w:val="ListParagraph"/>
              <w:numPr>
                <w:ilvl w:val="0"/>
                <w:numId w:val="27"/>
              </w:numPr>
              <w:contextualSpacing/>
              <w:jc w:val="both"/>
              <w:rPr>
                <w:rFonts w:ascii="Arial" w:hAnsi="Arial" w:cs="Arial"/>
                <w:sz w:val="20"/>
                <w:szCs w:val="20"/>
                <w:lang w:val="en-GB"/>
              </w:rPr>
            </w:pPr>
            <w:r w:rsidRPr="00E9707C">
              <w:rPr>
                <w:rFonts w:ascii="Arial" w:hAnsi="Arial" w:cs="Arial"/>
                <w:sz w:val="20"/>
                <w:szCs w:val="20"/>
                <w:lang w:val="en-GB"/>
              </w:rPr>
              <w:t>FFS: Whether IAB-specific enhancements beyond the existing beam management framework are needed to the support the functionality</w:t>
            </w:r>
          </w:p>
          <w:p w14:paraId="42BE48C3" w14:textId="77777777" w:rsidR="003230F6" w:rsidRPr="00E9707C" w:rsidRDefault="003230F6" w:rsidP="00CF431B">
            <w:pPr>
              <w:pStyle w:val="ListParagraph"/>
              <w:numPr>
                <w:ilvl w:val="0"/>
                <w:numId w:val="27"/>
              </w:numPr>
              <w:contextualSpacing/>
              <w:jc w:val="both"/>
              <w:rPr>
                <w:rFonts w:ascii="Arial" w:hAnsi="Arial" w:cs="Arial"/>
                <w:sz w:val="20"/>
                <w:szCs w:val="20"/>
                <w:lang w:val="en-GB"/>
              </w:rPr>
            </w:pPr>
            <w:r w:rsidRPr="00E9707C">
              <w:rPr>
                <w:rFonts w:ascii="Arial" w:hAnsi="Arial" w:cs="Arial"/>
                <w:sz w:val="20"/>
                <w:szCs w:val="20"/>
                <w:lang w:val="en-GB"/>
              </w:rPr>
              <w:t>FFS: Impact on the semi-static resource configurations (e.g., extending the H/S/NA resource attributes to the spatial domain)</w:t>
            </w:r>
          </w:p>
          <w:p w14:paraId="18FA3A02" w14:textId="77777777" w:rsidR="003230F6" w:rsidRPr="00E9707C" w:rsidRDefault="003230F6" w:rsidP="00CF431B">
            <w:pPr>
              <w:pStyle w:val="ListParagraph"/>
              <w:numPr>
                <w:ilvl w:val="0"/>
                <w:numId w:val="27"/>
              </w:numPr>
              <w:contextualSpacing/>
              <w:jc w:val="both"/>
              <w:rPr>
                <w:rFonts w:ascii="Arial" w:hAnsi="Arial" w:cs="Arial"/>
                <w:sz w:val="20"/>
                <w:szCs w:val="20"/>
                <w:lang w:val="en-GB"/>
              </w:rPr>
            </w:pPr>
            <w:r w:rsidRPr="00E9707C">
              <w:rPr>
                <w:rFonts w:ascii="Arial" w:hAnsi="Arial" w:cs="Arial"/>
                <w:sz w:val="20"/>
                <w:szCs w:val="20"/>
                <w:lang w:val="en-GB"/>
              </w:rPr>
              <w:t>FFS: Whether panel-based granularity is additionally supported</w:t>
            </w:r>
          </w:p>
        </w:tc>
      </w:tr>
    </w:tbl>
    <w:p w14:paraId="6BFE28F7" w14:textId="6FBA0573" w:rsidR="00851E97" w:rsidRPr="007B4D83" w:rsidRDefault="00851E97" w:rsidP="00851E97">
      <w:pPr>
        <w:spacing w:before="240"/>
        <w:jc w:val="both"/>
        <w:rPr>
          <w:rFonts w:ascii="Arial" w:hAnsi="Arial" w:cs="Arial"/>
          <w:sz w:val="20"/>
          <w:szCs w:val="20"/>
          <w:lang w:val="en-GB"/>
        </w:rPr>
      </w:pPr>
      <w:r w:rsidRPr="007B4D83">
        <w:rPr>
          <w:rFonts w:ascii="Arial" w:hAnsi="Arial" w:cs="Arial"/>
          <w:sz w:val="20"/>
          <w:szCs w:val="20"/>
          <w:lang w:val="en-GB"/>
        </w:rPr>
        <w:lastRenderedPageBreak/>
        <w:t xml:space="preserve">For transmission/reception directions (i.e., beams) where the IAB-MT and IAB-DU can use the same time- and frequency-domain resources simultaneously (i.e., capable of SDM), the Rel-16 time-domain H/S mechanism is not needed due to the space-domain orthogonality. </w:t>
      </w:r>
      <w:r>
        <w:rPr>
          <w:rFonts w:ascii="Arial" w:hAnsi="Arial" w:cs="Arial"/>
          <w:sz w:val="20"/>
          <w:szCs w:val="20"/>
          <w:lang w:val="en-GB"/>
        </w:rPr>
        <w:t>The d</w:t>
      </w:r>
      <w:r w:rsidRPr="007B4D83">
        <w:rPr>
          <w:rFonts w:ascii="Arial" w:hAnsi="Arial" w:cs="Arial"/>
          <w:sz w:val="20"/>
          <w:szCs w:val="20"/>
          <w:lang w:val="en-GB" w:eastAsia="ja-JP"/>
        </w:rPr>
        <w:t xml:space="preserve">ifference between FDM/TDM and SDM is that FDM/TDM resource partitioning is </w:t>
      </w:r>
      <w:r>
        <w:rPr>
          <w:rFonts w:ascii="Arial" w:hAnsi="Arial" w:cs="Arial"/>
          <w:sz w:val="20"/>
          <w:szCs w:val="20"/>
          <w:lang w:val="en-GB" w:eastAsia="ja-JP"/>
        </w:rPr>
        <w:t xml:space="preserve">unconditionally </w:t>
      </w:r>
      <w:r w:rsidRPr="007B4D83">
        <w:rPr>
          <w:rFonts w:ascii="Arial" w:hAnsi="Arial" w:cs="Arial"/>
          <w:sz w:val="20"/>
          <w:szCs w:val="20"/>
          <w:lang w:val="en-GB" w:eastAsia="ja-JP"/>
        </w:rPr>
        <w:t>orthogonal</w:t>
      </w:r>
      <w:r>
        <w:rPr>
          <w:rFonts w:ascii="Arial" w:hAnsi="Arial" w:cs="Arial"/>
          <w:sz w:val="20"/>
          <w:szCs w:val="20"/>
          <w:lang w:val="en-GB" w:eastAsia="ja-JP"/>
        </w:rPr>
        <w:t xml:space="preserve"> whereas for SDM orthogonality is conditioned on UE/MT separation in the space domain, which is not always met. For example, a UE must be able to perform random access to an IAB-node also in the same direction as the IAB-MT’s parent link without performance being compromised.</w:t>
      </w:r>
      <w:r w:rsidRPr="007B4D83">
        <w:rPr>
          <w:rFonts w:ascii="Arial" w:hAnsi="Arial" w:cs="Arial"/>
          <w:sz w:val="20"/>
          <w:szCs w:val="20"/>
          <w:lang w:val="en-GB" w:eastAsia="ja-JP"/>
        </w:rPr>
        <w:t xml:space="preserve"> Thus, SDM-based </w:t>
      </w:r>
      <w:r>
        <w:rPr>
          <w:rFonts w:ascii="Arial" w:hAnsi="Arial" w:cs="Arial"/>
          <w:sz w:val="20"/>
          <w:szCs w:val="20"/>
          <w:lang w:val="en-GB" w:eastAsia="ja-JP"/>
        </w:rPr>
        <w:t xml:space="preserve">simultaneous operation must </w:t>
      </w:r>
      <w:r w:rsidR="00E9664F">
        <w:rPr>
          <w:rFonts w:ascii="Arial" w:hAnsi="Arial" w:cs="Arial"/>
          <w:sz w:val="20"/>
          <w:szCs w:val="20"/>
          <w:lang w:val="en-GB" w:eastAsia="ja-JP"/>
        </w:rPr>
        <w:t xml:space="preserve">also </w:t>
      </w:r>
      <w:r>
        <w:rPr>
          <w:rFonts w:ascii="Arial" w:hAnsi="Arial" w:cs="Arial"/>
          <w:sz w:val="20"/>
          <w:szCs w:val="20"/>
          <w:lang w:val="en-GB" w:eastAsia="ja-JP"/>
        </w:rPr>
        <w:t xml:space="preserve">address the case where IAB-DU and IAB-MT links are </w:t>
      </w:r>
      <w:r w:rsidR="38C236E0" w:rsidRPr="2B68BE3C">
        <w:rPr>
          <w:rFonts w:ascii="Arial" w:hAnsi="Arial" w:cs="Arial"/>
          <w:sz w:val="20"/>
          <w:szCs w:val="20"/>
          <w:lang w:val="en-GB" w:eastAsia="ja-JP"/>
        </w:rPr>
        <w:t xml:space="preserve">potentially </w:t>
      </w:r>
      <w:r w:rsidR="00E9664F">
        <w:rPr>
          <w:rFonts w:ascii="Arial" w:hAnsi="Arial" w:cs="Arial"/>
          <w:sz w:val="20"/>
          <w:szCs w:val="20"/>
          <w:lang w:val="en-GB" w:eastAsia="ja-JP"/>
        </w:rPr>
        <w:t>interfering</w:t>
      </w:r>
      <w:r>
        <w:rPr>
          <w:rFonts w:ascii="Arial" w:hAnsi="Arial" w:cs="Arial"/>
          <w:sz w:val="20"/>
          <w:szCs w:val="20"/>
          <w:lang w:val="en-GB" w:eastAsia="ja-JP"/>
        </w:rPr>
        <w:t>.</w:t>
      </w:r>
    </w:p>
    <w:p w14:paraId="2E0E6B24" w14:textId="3CC33248" w:rsidR="00851E97" w:rsidRPr="00FE7DD3" w:rsidRDefault="00851E97" w:rsidP="007300CA">
      <w:pPr>
        <w:pStyle w:val="Observation"/>
        <w:rPr>
          <w:rStyle w:val="IvDbodytextChar"/>
          <w:b w:val="0"/>
          <w:sz w:val="20"/>
          <w:lang w:val="en-US" w:eastAsia="en-US"/>
        </w:rPr>
      </w:pPr>
      <w:bookmarkStart w:id="54" w:name="_Toc71663380"/>
      <w:r w:rsidRPr="004D4259">
        <w:rPr>
          <w:rStyle w:val="IvDbodytextChar"/>
          <w:sz w:val="20"/>
        </w:rPr>
        <w:t xml:space="preserve">SDM-based simultaneous operation must address the case with </w:t>
      </w:r>
      <w:r w:rsidR="7F456856" w:rsidRPr="3B196A13">
        <w:rPr>
          <w:rStyle w:val="IvDbodytextChar"/>
          <w:sz w:val="20"/>
          <w:szCs w:val="20"/>
        </w:rPr>
        <w:t xml:space="preserve">potentially </w:t>
      </w:r>
      <w:r w:rsidR="00E9664F" w:rsidRPr="004D4259">
        <w:rPr>
          <w:rStyle w:val="IvDbodytextChar"/>
          <w:sz w:val="20"/>
        </w:rPr>
        <w:t>interfering</w:t>
      </w:r>
      <w:r w:rsidRPr="004D4259">
        <w:rPr>
          <w:rStyle w:val="IvDbodytextChar"/>
          <w:sz w:val="20"/>
        </w:rPr>
        <w:t xml:space="preserve"> IAB-DU and IAB-MT links.</w:t>
      </w:r>
      <w:bookmarkEnd w:id="54"/>
    </w:p>
    <w:p w14:paraId="244D4184" w14:textId="22B3CBAF" w:rsidR="00F1691E" w:rsidRDefault="003230F6" w:rsidP="008413E7">
      <w:pPr>
        <w:pStyle w:val="BodyText"/>
        <w:jc w:val="both"/>
        <w:rPr>
          <w:rStyle w:val="IvDbodytextChar"/>
          <w:sz w:val="20"/>
          <w:szCs w:val="20"/>
          <w:lang w:val="en-GB"/>
        </w:rPr>
      </w:pPr>
      <w:r w:rsidRPr="00FE7DD3">
        <w:rPr>
          <w:rFonts w:ascii="Arial" w:hAnsi="Arial" w:cs="Arial"/>
          <w:sz w:val="20"/>
          <w:szCs w:val="20"/>
          <w:lang w:val="en-GB"/>
        </w:rPr>
        <w:t xml:space="preserve">Additionally, </w:t>
      </w:r>
      <w:r w:rsidR="00F5604F" w:rsidRPr="420C2FEC">
        <w:rPr>
          <w:rFonts w:ascii="Arial" w:hAnsi="Arial" w:cs="Arial"/>
          <w:sz w:val="20"/>
          <w:szCs w:val="20"/>
          <w:lang w:val="en-GB"/>
        </w:rPr>
        <w:t xml:space="preserve">as pointed out in </w:t>
      </w:r>
      <w:r w:rsidR="004D4259">
        <w:rPr>
          <w:rFonts w:ascii="Arial" w:hAnsi="Arial" w:cs="Arial"/>
          <w:sz w:val="20"/>
          <w:szCs w:val="20"/>
          <w:lang w:val="en-GB"/>
        </w:rPr>
        <w:t xml:space="preserve">Section </w:t>
      </w:r>
      <w:r w:rsidR="004D4259">
        <w:rPr>
          <w:rFonts w:ascii="Arial" w:hAnsi="Arial" w:cs="Arial"/>
          <w:sz w:val="20"/>
          <w:szCs w:val="20"/>
          <w:lang w:val="en-GB"/>
        </w:rPr>
        <w:fldChar w:fldCharType="begin"/>
      </w:r>
      <w:r w:rsidR="004D4259">
        <w:rPr>
          <w:rFonts w:ascii="Arial" w:hAnsi="Arial" w:cs="Arial"/>
          <w:sz w:val="20"/>
          <w:szCs w:val="20"/>
          <w:lang w:val="en-GB"/>
        </w:rPr>
        <w:instrText xml:space="preserve"> REF _Ref58590315 \r \h </w:instrText>
      </w:r>
      <w:r w:rsidR="004D4259">
        <w:rPr>
          <w:rFonts w:ascii="Arial" w:hAnsi="Arial" w:cs="Arial"/>
          <w:sz w:val="20"/>
          <w:szCs w:val="20"/>
          <w:lang w:val="en-GB"/>
        </w:rPr>
      </w:r>
      <w:r w:rsidR="004D4259">
        <w:rPr>
          <w:rFonts w:ascii="Arial" w:hAnsi="Arial" w:cs="Arial"/>
          <w:sz w:val="20"/>
          <w:szCs w:val="20"/>
          <w:lang w:val="en-GB"/>
        </w:rPr>
        <w:fldChar w:fldCharType="separate"/>
      </w:r>
      <w:r w:rsidR="00301FA3">
        <w:rPr>
          <w:rFonts w:ascii="Arial" w:hAnsi="Arial" w:cs="Arial"/>
          <w:sz w:val="20"/>
          <w:szCs w:val="20"/>
          <w:lang w:val="en-GB"/>
        </w:rPr>
        <w:t>2.1.1</w:t>
      </w:r>
      <w:r w:rsidR="004D4259">
        <w:rPr>
          <w:rFonts w:ascii="Arial" w:hAnsi="Arial" w:cs="Arial"/>
          <w:sz w:val="20"/>
          <w:szCs w:val="20"/>
          <w:lang w:val="en-GB"/>
        </w:rPr>
        <w:fldChar w:fldCharType="end"/>
      </w:r>
      <w:r w:rsidR="00F5604F" w:rsidRPr="007B36A4">
        <w:rPr>
          <w:rFonts w:ascii="Arial" w:hAnsi="Arial" w:cs="Arial"/>
          <w:sz w:val="20"/>
          <w:szCs w:val="20"/>
          <w:lang w:val="en-GB"/>
        </w:rPr>
        <w:t xml:space="preserve">, H/S/NA resource configuration </w:t>
      </w:r>
      <w:r w:rsidR="00C44D69">
        <w:rPr>
          <w:rFonts w:ascii="Arial" w:hAnsi="Arial" w:cs="Arial"/>
          <w:sz w:val="20"/>
          <w:szCs w:val="20"/>
          <w:lang w:val="en-GB"/>
        </w:rPr>
        <w:t>wa</w:t>
      </w:r>
      <w:r w:rsidR="00F5604F" w:rsidRPr="420C2FEC">
        <w:rPr>
          <w:rFonts w:ascii="Arial" w:hAnsi="Arial" w:cs="Arial"/>
          <w:sz w:val="20"/>
          <w:szCs w:val="20"/>
          <w:lang w:val="en-GB"/>
        </w:rPr>
        <w:t xml:space="preserve">s </w:t>
      </w:r>
      <w:r w:rsidR="00C44D69">
        <w:rPr>
          <w:rFonts w:ascii="Arial" w:hAnsi="Arial" w:cs="Arial"/>
          <w:sz w:val="20"/>
          <w:szCs w:val="20"/>
          <w:lang w:val="en-GB"/>
        </w:rPr>
        <w:t xml:space="preserve">agreed to be </w:t>
      </w:r>
      <w:r w:rsidR="00F5604F" w:rsidRPr="420C2FEC">
        <w:rPr>
          <w:rFonts w:ascii="Arial" w:hAnsi="Arial" w:cs="Arial"/>
          <w:sz w:val="20"/>
          <w:szCs w:val="20"/>
          <w:lang w:val="en-GB"/>
        </w:rPr>
        <w:t>extended to the frequency domain.</w:t>
      </w:r>
      <w:r w:rsidR="00C44D69">
        <w:rPr>
          <w:rFonts w:ascii="Arial" w:hAnsi="Arial" w:cs="Arial"/>
          <w:sz w:val="20"/>
          <w:szCs w:val="20"/>
          <w:lang w:val="en-GB"/>
        </w:rPr>
        <w:t xml:space="preserve"> </w:t>
      </w:r>
      <w:r w:rsidR="00612466">
        <w:rPr>
          <w:rFonts w:ascii="Arial" w:hAnsi="Arial" w:cs="Arial"/>
          <w:sz w:val="20"/>
          <w:szCs w:val="20"/>
          <w:lang w:val="en-GB"/>
        </w:rPr>
        <w:t>Considering the Rel-16</w:t>
      </w:r>
      <w:r w:rsidR="00CE4031">
        <w:rPr>
          <w:rFonts w:ascii="Arial" w:hAnsi="Arial" w:cs="Arial"/>
          <w:sz w:val="20"/>
          <w:szCs w:val="20"/>
          <w:lang w:val="en-GB"/>
        </w:rPr>
        <w:t xml:space="preserve"> H/S/NA </w:t>
      </w:r>
      <w:r w:rsidR="00122CBB">
        <w:rPr>
          <w:rFonts w:ascii="Arial" w:hAnsi="Arial" w:cs="Arial"/>
          <w:sz w:val="20"/>
          <w:szCs w:val="20"/>
          <w:lang w:val="en-GB"/>
        </w:rPr>
        <w:t>resource configurations</w:t>
      </w:r>
      <w:r w:rsidR="00CE4031">
        <w:rPr>
          <w:rFonts w:ascii="Arial" w:hAnsi="Arial" w:cs="Arial"/>
          <w:sz w:val="20"/>
          <w:szCs w:val="20"/>
          <w:lang w:val="en-GB"/>
        </w:rPr>
        <w:t xml:space="preserve">, </w:t>
      </w:r>
      <w:r w:rsidR="00F341FF">
        <w:rPr>
          <w:rFonts w:ascii="Arial" w:hAnsi="Arial" w:cs="Arial"/>
          <w:sz w:val="20"/>
          <w:szCs w:val="20"/>
          <w:lang w:val="en-GB"/>
        </w:rPr>
        <w:t xml:space="preserve">a </w:t>
      </w:r>
      <w:r w:rsidR="00F341FF" w:rsidRPr="008D10DF">
        <w:rPr>
          <w:rFonts w:ascii="Arial" w:hAnsi="Arial" w:cs="Arial"/>
          <w:i/>
          <w:iCs/>
          <w:sz w:val="20"/>
          <w:szCs w:val="20"/>
          <w:lang w:val="en-GB"/>
        </w:rPr>
        <w:t>Hard</w:t>
      </w:r>
      <w:r w:rsidR="00F341FF">
        <w:rPr>
          <w:rFonts w:ascii="Arial" w:hAnsi="Arial" w:cs="Arial"/>
          <w:sz w:val="20"/>
          <w:szCs w:val="20"/>
          <w:lang w:val="en-GB"/>
        </w:rPr>
        <w:t xml:space="preserve"> configuration implies that</w:t>
      </w:r>
      <w:r w:rsidR="00F341FF" w:rsidRPr="001C5BA2">
        <w:rPr>
          <w:rFonts w:ascii="Arial" w:hAnsi="Arial" w:cs="Arial"/>
          <w:iCs/>
          <w:sz w:val="20"/>
          <w:szCs w:val="20"/>
          <w:lang w:val="en-GB"/>
        </w:rPr>
        <w:t xml:space="preserve"> </w:t>
      </w:r>
      <w:r w:rsidR="00F341FF" w:rsidRPr="51AD7E16">
        <w:rPr>
          <w:rStyle w:val="IvDbodytextChar"/>
          <w:sz w:val="20"/>
          <w:szCs w:val="20"/>
          <w:lang w:val="en-GB"/>
        </w:rPr>
        <w:t xml:space="preserve">the IAB-DU cell </w:t>
      </w:r>
      <w:r w:rsidR="009E7DD1" w:rsidRPr="51AD7E16">
        <w:rPr>
          <w:rStyle w:val="IvDbodytextChar"/>
          <w:sz w:val="20"/>
          <w:szCs w:val="20"/>
          <w:lang w:val="en-GB"/>
        </w:rPr>
        <w:t xml:space="preserve">unconditionally </w:t>
      </w:r>
      <w:r w:rsidR="00F341FF" w:rsidRPr="51AD7E16">
        <w:rPr>
          <w:rStyle w:val="IvDbodytextChar"/>
          <w:sz w:val="20"/>
          <w:szCs w:val="20"/>
          <w:lang w:val="en-GB"/>
        </w:rPr>
        <w:t>can use a symbol</w:t>
      </w:r>
      <w:r w:rsidR="00122CBB" w:rsidRPr="51AD7E16">
        <w:rPr>
          <w:rStyle w:val="IvDbodytextChar"/>
          <w:sz w:val="20"/>
          <w:szCs w:val="20"/>
          <w:lang w:val="en-GB"/>
        </w:rPr>
        <w:t xml:space="preserve"> (i.e., the IAB-MT </w:t>
      </w:r>
      <w:r w:rsidR="002C1CD8">
        <w:rPr>
          <w:rStyle w:val="IvDbodytextChar"/>
          <w:sz w:val="20"/>
          <w:szCs w:val="20"/>
          <w:lang w:val="en-GB"/>
        </w:rPr>
        <w:t>is not required to use it</w:t>
      </w:r>
      <w:r w:rsidR="00122CBB" w:rsidRPr="51AD7E16">
        <w:rPr>
          <w:rStyle w:val="IvDbodytextChar"/>
          <w:sz w:val="20"/>
          <w:szCs w:val="20"/>
          <w:lang w:val="en-GB"/>
        </w:rPr>
        <w:t>)</w:t>
      </w:r>
      <w:r w:rsidR="00F341FF" w:rsidRPr="51AD7E16">
        <w:rPr>
          <w:rStyle w:val="IvDbodytextChar"/>
          <w:sz w:val="20"/>
          <w:szCs w:val="20"/>
          <w:lang w:val="en-GB"/>
        </w:rPr>
        <w:t xml:space="preserve">, </w:t>
      </w:r>
      <w:r w:rsidR="00173D7B" w:rsidRPr="51AD7E16">
        <w:rPr>
          <w:rStyle w:val="IvDbodytextChar"/>
          <w:i/>
          <w:sz w:val="20"/>
          <w:szCs w:val="20"/>
          <w:lang w:val="en-GB"/>
        </w:rPr>
        <w:t>Soft</w:t>
      </w:r>
      <w:r w:rsidR="00173D7B" w:rsidRPr="51AD7E16">
        <w:rPr>
          <w:rStyle w:val="IvDbodytextChar"/>
          <w:sz w:val="20"/>
          <w:szCs w:val="20"/>
          <w:lang w:val="en-GB"/>
        </w:rPr>
        <w:t xml:space="preserve">, that the IAB-DU cell conditionally </w:t>
      </w:r>
      <w:r w:rsidR="009E7DD1" w:rsidRPr="51AD7E16">
        <w:rPr>
          <w:rStyle w:val="IvDbodytextChar"/>
          <w:sz w:val="20"/>
          <w:szCs w:val="20"/>
          <w:lang w:val="en-GB"/>
        </w:rPr>
        <w:t xml:space="preserve">can </w:t>
      </w:r>
      <w:r w:rsidR="00173D7B" w:rsidRPr="51AD7E16">
        <w:rPr>
          <w:rStyle w:val="IvDbodytextChar"/>
          <w:sz w:val="20"/>
          <w:szCs w:val="20"/>
          <w:lang w:val="en-GB"/>
        </w:rPr>
        <w:t xml:space="preserve">use the symbol and </w:t>
      </w:r>
      <w:r w:rsidR="00F341FF" w:rsidRPr="51AD7E16">
        <w:rPr>
          <w:rStyle w:val="IvDbodytextChar"/>
          <w:i/>
          <w:sz w:val="20"/>
          <w:szCs w:val="20"/>
          <w:lang w:val="en-GB"/>
        </w:rPr>
        <w:t>Not Available</w:t>
      </w:r>
      <w:r w:rsidR="00F341FF" w:rsidRPr="51AD7E16">
        <w:rPr>
          <w:rStyle w:val="IvDbodytextChar"/>
          <w:sz w:val="20"/>
          <w:szCs w:val="20"/>
          <w:lang w:val="en-GB"/>
        </w:rPr>
        <w:t xml:space="preserve"> that</w:t>
      </w:r>
      <w:r w:rsidR="00173D7B" w:rsidRPr="51AD7E16">
        <w:rPr>
          <w:rStyle w:val="IvDbodytextChar"/>
          <w:sz w:val="20"/>
          <w:szCs w:val="20"/>
          <w:lang w:val="en-GB"/>
        </w:rPr>
        <w:t xml:space="preserve"> the IAB-DU cannot use the symbol</w:t>
      </w:r>
      <w:r w:rsidR="008900C0" w:rsidRPr="51AD7E16">
        <w:rPr>
          <w:rStyle w:val="IvDbodytextChar"/>
          <w:sz w:val="20"/>
          <w:szCs w:val="20"/>
          <w:lang w:val="en-GB"/>
        </w:rPr>
        <w:t xml:space="preserve"> at all</w:t>
      </w:r>
      <w:r w:rsidR="00173D7B" w:rsidRPr="51AD7E16">
        <w:rPr>
          <w:rStyle w:val="IvDbodytextChar"/>
          <w:sz w:val="20"/>
          <w:szCs w:val="20"/>
          <w:lang w:val="en-GB"/>
        </w:rPr>
        <w:t>.</w:t>
      </w:r>
      <w:r w:rsidR="004E7943" w:rsidRPr="51AD7E16">
        <w:rPr>
          <w:rStyle w:val="IvDbodytextChar"/>
          <w:sz w:val="20"/>
          <w:szCs w:val="20"/>
          <w:lang w:val="en-GB"/>
        </w:rPr>
        <w:t xml:space="preserve"> </w:t>
      </w:r>
      <w:r w:rsidR="00EF3B22" w:rsidRPr="51AD7E16">
        <w:rPr>
          <w:rStyle w:val="IvDbodytextChar"/>
          <w:sz w:val="20"/>
          <w:szCs w:val="20"/>
          <w:lang w:val="en-GB"/>
        </w:rPr>
        <w:t>Generalizing</w:t>
      </w:r>
      <w:r w:rsidR="009E7DD1" w:rsidRPr="51AD7E16">
        <w:rPr>
          <w:rStyle w:val="IvDbodytextChar"/>
          <w:sz w:val="20"/>
          <w:szCs w:val="20"/>
          <w:lang w:val="en-GB"/>
        </w:rPr>
        <w:t xml:space="preserve"> the</w:t>
      </w:r>
      <w:r w:rsidR="00EF3B22" w:rsidRPr="51AD7E16">
        <w:rPr>
          <w:rStyle w:val="IvDbodytextChar"/>
          <w:sz w:val="20"/>
          <w:szCs w:val="20"/>
          <w:lang w:val="en-GB"/>
        </w:rPr>
        <w:t>se</w:t>
      </w:r>
      <w:r w:rsidR="009E7DD1" w:rsidRPr="51AD7E16">
        <w:rPr>
          <w:rStyle w:val="IvDbodytextChar"/>
          <w:sz w:val="20"/>
          <w:szCs w:val="20"/>
          <w:lang w:val="en-GB"/>
        </w:rPr>
        <w:t xml:space="preserve"> constraints to </w:t>
      </w:r>
      <w:r w:rsidR="00EF3B22" w:rsidRPr="51AD7E16">
        <w:rPr>
          <w:rStyle w:val="IvDbodytextChar"/>
          <w:sz w:val="20"/>
          <w:szCs w:val="20"/>
          <w:lang w:val="en-GB"/>
        </w:rPr>
        <w:t xml:space="preserve">both time and </w:t>
      </w:r>
      <w:r w:rsidR="009E7DD1" w:rsidRPr="51AD7E16">
        <w:rPr>
          <w:rStyle w:val="IvDbodytextChar"/>
          <w:sz w:val="20"/>
          <w:szCs w:val="20"/>
          <w:lang w:val="en-GB"/>
        </w:rPr>
        <w:t xml:space="preserve">frequency domain implies that </w:t>
      </w:r>
      <w:r w:rsidR="008900C0" w:rsidRPr="51AD7E16">
        <w:rPr>
          <w:rStyle w:val="IvDbodytextChar"/>
          <w:sz w:val="20"/>
          <w:szCs w:val="20"/>
          <w:lang w:val="en-GB"/>
        </w:rPr>
        <w:t xml:space="preserve">the IAB-DU and IAB-MT may only simultaneously operate in Soft </w:t>
      </w:r>
      <w:r w:rsidR="00F528B6">
        <w:rPr>
          <w:rStyle w:val="IvDbodytextChar"/>
          <w:sz w:val="20"/>
          <w:szCs w:val="20"/>
          <w:lang w:val="en-GB"/>
        </w:rPr>
        <w:t xml:space="preserve">(time and/or frequency) </w:t>
      </w:r>
      <w:r w:rsidR="00EF3B22" w:rsidRPr="51AD7E16">
        <w:rPr>
          <w:rStyle w:val="IvDbodytextChar"/>
          <w:i/>
          <w:sz w:val="20"/>
          <w:szCs w:val="20"/>
          <w:lang w:val="en-GB"/>
        </w:rPr>
        <w:t>resources</w:t>
      </w:r>
      <w:r w:rsidR="008900C0" w:rsidRPr="51AD7E16">
        <w:rPr>
          <w:rStyle w:val="IvDbodytextChar"/>
          <w:sz w:val="20"/>
          <w:szCs w:val="20"/>
          <w:lang w:val="en-GB"/>
        </w:rPr>
        <w:t xml:space="preserve">. </w:t>
      </w:r>
      <w:r w:rsidR="00F1691E" w:rsidRPr="51AD7E16">
        <w:rPr>
          <w:rStyle w:val="IvDbodytextChar"/>
          <w:sz w:val="20"/>
          <w:szCs w:val="20"/>
          <w:lang w:val="en-GB"/>
        </w:rPr>
        <w:t>F</w:t>
      </w:r>
      <w:r w:rsidR="008900C0" w:rsidRPr="51AD7E16">
        <w:rPr>
          <w:rStyle w:val="IvDbodytextChar"/>
          <w:sz w:val="20"/>
          <w:szCs w:val="20"/>
          <w:lang w:val="en-GB"/>
        </w:rPr>
        <w:t xml:space="preserve">or an IAB node </w:t>
      </w:r>
      <w:r w:rsidR="00EE5DC5" w:rsidRPr="51AD7E16">
        <w:rPr>
          <w:rStyle w:val="IvDbodytextChar"/>
          <w:sz w:val="20"/>
          <w:szCs w:val="20"/>
          <w:lang w:val="en-GB"/>
        </w:rPr>
        <w:t>configured to operate in</w:t>
      </w:r>
      <w:r w:rsidR="008900C0" w:rsidRPr="51AD7E16">
        <w:rPr>
          <w:rStyle w:val="IvDbodytextChar"/>
          <w:sz w:val="20"/>
          <w:szCs w:val="20"/>
          <w:lang w:val="en-GB"/>
        </w:rPr>
        <w:t xml:space="preserve"> </w:t>
      </w:r>
      <w:r w:rsidR="00EE5DC5" w:rsidRPr="51AD7E16">
        <w:rPr>
          <w:rStyle w:val="IvDbodytextChar"/>
          <w:sz w:val="20"/>
          <w:szCs w:val="20"/>
          <w:lang w:val="en-GB"/>
        </w:rPr>
        <w:t>S</w:t>
      </w:r>
      <w:r w:rsidR="008900C0" w:rsidRPr="51AD7E16">
        <w:rPr>
          <w:rStyle w:val="IvDbodytextChar"/>
          <w:sz w:val="20"/>
          <w:szCs w:val="20"/>
          <w:lang w:val="en-GB"/>
        </w:rPr>
        <w:t xml:space="preserve">DM, Soft </w:t>
      </w:r>
      <w:r w:rsidR="00EF3B22" w:rsidRPr="51AD7E16">
        <w:rPr>
          <w:rStyle w:val="IvDbodytextChar"/>
          <w:sz w:val="20"/>
          <w:szCs w:val="20"/>
          <w:lang w:val="en-GB"/>
        </w:rPr>
        <w:t>resources</w:t>
      </w:r>
      <w:r w:rsidR="008900C0" w:rsidRPr="51AD7E16">
        <w:rPr>
          <w:rStyle w:val="IvDbodytextChar"/>
          <w:sz w:val="20"/>
          <w:szCs w:val="20"/>
          <w:lang w:val="en-GB"/>
        </w:rPr>
        <w:t xml:space="preserve"> </w:t>
      </w:r>
      <w:r w:rsidR="00935A5C" w:rsidRPr="51AD7E16">
        <w:rPr>
          <w:rStyle w:val="IvDbodytextChar"/>
          <w:sz w:val="20"/>
          <w:szCs w:val="20"/>
          <w:lang w:val="en-GB"/>
        </w:rPr>
        <w:t>may be</w:t>
      </w:r>
      <w:r w:rsidR="008900C0" w:rsidRPr="51AD7E16">
        <w:rPr>
          <w:rStyle w:val="IvDbodytextChar"/>
          <w:sz w:val="20"/>
          <w:szCs w:val="20"/>
          <w:lang w:val="en-GB"/>
        </w:rPr>
        <w:t xml:space="preserve"> available for space domain simultaneous operation</w:t>
      </w:r>
      <w:r w:rsidR="00122CBB" w:rsidRPr="51AD7E16">
        <w:rPr>
          <w:rStyle w:val="IvDbodytextChar"/>
          <w:sz w:val="20"/>
          <w:szCs w:val="20"/>
          <w:lang w:val="en-GB"/>
        </w:rPr>
        <w:t xml:space="preserve"> through implicit indication</w:t>
      </w:r>
      <w:r w:rsidR="00F1691E" w:rsidRPr="51AD7E16">
        <w:rPr>
          <w:rStyle w:val="IvDbodytextChar"/>
          <w:sz w:val="20"/>
          <w:szCs w:val="20"/>
          <w:lang w:val="en-GB"/>
        </w:rPr>
        <w:t xml:space="preserve">, considering the newly adopted soft resource specification, that </w:t>
      </w:r>
      <w:r w:rsidR="005F2F10" w:rsidRPr="51AD7E16">
        <w:rPr>
          <w:rStyle w:val="IvDbodytextChar"/>
          <w:sz w:val="20"/>
          <w:szCs w:val="20"/>
          <w:lang w:val="en-GB"/>
        </w:rPr>
        <w:t>the IAB-</w:t>
      </w:r>
      <w:r w:rsidR="005F2F10" w:rsidRPr="3F94AA2E">
        <w:rPr>
          <w:rStyle w:val="IvDbodytextChar"/>
          <w:sz w:val="20"/>
          <w:szCs w:val="20"/>
          <w:lang w:val="en-GB"/>
        </w:rPr>
        <w:t>D</w:t>
      </w:r>
      <w:r w:rsidR="00C44D69" w:rsidRPr="3F94AA2E">
        <w:rPr>
          <w:rStyle w:val="IvDbodytextChar"/>
          <w:sz w:val="20"/>
          <w:szCs w:val="20"/>
          <w:lang w:val="en-GB"/>
        </w:rPr>
        <w:t>U</w:t>
      </w:r>
      <w:r w:rsidR="005F2F10" w:rsidRPr="51AD7E16">
        <w:rPr>
          <w:rStyle w:val="IvDbodytextChar"/>
          <w:sz w:val="20"/>
          <w:szCs w:val="20"/>
          <w:lang w:val="en-GB"/>
        </w:rPr>
        <w:t xml:space="preserve"> can use a resource </w:t>
      </w:r>
      <w:r w:rsidR="00F1691E" w:rsidRPr="51AD7E16">
        <w:rPr>
          <w:rStyle w:val="IvDbodytextChar"/>
          <w:sz w:val="20"/>
          <w:szCs w:val="20"/>
          <w:lang w:val="en-GB"/>
        </w:rPr>
        <w:t>provided</w:t>
      </w:r>
    </w:p>
    <w:p w14:paraId="512A2221" w14:textId="77777777" w:rsidR="00DD5976" w:rsidRDefault="00F1691E" w:rsidP="00F00AE5">
      <w:pPr>
        <w:pStyle w:val="BodyText"/>
        <w:ind w:left="567"/>
        <w:jc w:val="both"/>
        <w:rPr>
          <w:rStyle w:val="IvDbodytextChar"/>
          <w:sz w:val="20"/>
          <w:lang w:val="en-GB"/>
        </w:rPr>
      </w:pPr>
      <w:r w:rsidRPr="00E25D4B">
        <w:rPr>
          <w:rStyle w:val="IvDbodytextChar"/>
          <w:i/>
          <w:sz w:val="20"/>
          <w:lang w:val="en-GB"/>
        </w:rPr>
        <w:t>the IAB-MT would transmit or receive in the symbol, and the transmission or reception in the symbol is not changed due to a use of the symbol by the IAB-DU</w:t>
      </w:r>
      <w:r w:rsidR="00935A5C" w:rsidRPr="00E25D4B">
        <w:rPr>
          <w:rStyle w:val="IvDbodytextChar"/>
          <w:iCs/>
          <w:sz w:val="20"/>
          <w:lang w:val="en-GB"/>
        </w:rPr>
        <w:t>.</w:t>
      </w:r>
    </w:p>
    <w:p w14:paraId="1FCE0069" w14:textId="0ED7E6A2" w:rsidR="008413E7" w:rsidRDefault="00A97E4D" w:rsidP="008413E7">
      <w:pPr>
        <w:pStyle w:val="BodyText"/>
        <w:jc w:val="both"/>
        <w:rPr>
          <w:rStyle w:val="IvDbodytextChar"/>
          <w:sz w:val="20"/>
          <w:lang w:val="en-GB"/>
        </w:rPr>
      </w:pPr>
      <w:r>
        <w:rPr>
          <w:rStyle w:val="IvDbodytextChar"/>
          <w:sz w:val="20"/>
          <w:lang w:val="en-GB"/>
        </w:rPr>
        <w:t xml:space="preserve">This definition is also in line with </w:t>
      </w:r>
      <w:r w:rsidR="008413E7">
        <w:rPr>
          <w:rStyle w:val="IvDbodytextChar"/>
          <w:sz w:val="20"/>
          <w:lang w:val="en-GB"/>
        </w:rPr>
        <w:t>our</w:t>
      </w:r>
      <w:r>
        <w:rPr>
          <w:rStyle w:val="IvDbodytextChar"/>
          <w:sz w:val="20"/>
          <w:lang w:val="en-GB"/>
        </w:rPr>
        <w:t xml:space="preserve"> above </w:t>
      </w:r>
      <w:r w:rsidR="00855F05">
        <w:rPr>
          <w:rStyle w:val="IvDbodytextChar"/>
          <w:sz w:val="20"/>
          <w:lang w:val="en-GB"/>
        </w:rPr>
        <w:t>assumed</w:t>
      </w:r>
      <w:r>
        <w:rPr>
          <w:rStyle w:val="IvDbodytextChar"/>
          <w:sz w:val="20"/>
          <w:lang w:val="en-GB"/>
        </w:rPr>
        <w:t xml:space="preserve"> </w:t>
      </w:r>
      <w:r w:rsidR="00F00AE5">
        <w:rPr>
          <w:rStyle w:val="IvDbodytextChar"/>
          <w:sz w:val="20"/>
          <w:lang w:val="en-GB"/>
        </w:rPr>
        <w:t xml:space="preserve">definition of </w:t>
      </w:r>
      <w:r w:rsidR="00970F5C">
        <w:rPr>
          <w:rStyle w:val="IvDbodytextChar"/>
          <w:sz w:val="20"/>
          <w:lang w:val="en-GB"/>
        </w:rPr>
        <w:t xml:space="preserve">implicit indication of </w:t>
      </w:r>
      <w:r w:rsidR="00F00AE5">
        <w:rPr>
          <w:rStyle w:val="IvDbodytextChar"/>
          <w:sz w:val="20"/>
          <w:lang w:val="en-GB"/>
        </w:rPr>
        <w:t>frequency-domain</w:t>
      </w:r>
      <w:r>
        <w:rPr>
          <w:rStyle w:val="IvDbodytextChar"/>
          <w:sz w:val="20"/>
          <w:lang w:val="en-GB"/>
        </w:rPr>
        <w:t xml:space="preserve"> Soft</w:t>
      </w:r>
      <w:r w:rsidR="00F00AE5">
        <w:rPr>
          <w:rStyle w:val="IvDbodytextChar"/>
          <w:sz w:val="20"/>
          <w:lang w:val="en-GB"/>
        </w:rPr>
        <w:t xml:space="preserve"> resources,</w:t>
      </w:r>
    </w:p>
    <w:p w14:paraId="50D622D3" w14:textId="1288E76B" w:rsidR="00935A5C" w:rsidRDefault="008413E7" w:rsidP="00F00AE5">
      <w:pPr>
        <w:pStyle w:val="BodyText"/>
        <w:ind w:left="567"/>
        <w:jc w:val="both"/>
        <w:rPr>
          <w:rFonts w:ascii="Arial" w:hAnsi="Arial" w:cs="Arial"/>
          <w:i/>
          <w:sz w:val="20"/>
          <w:szCs w:val="20"/>
          <w:lang w:val="en-GB"/>
        </w:rPr>
      </w:pPr>
      <w:r w:rsidRPr="008413E7">
        <w:rPr>
          <w:rFonts w:ascii="Arial" w:hAnsi="Arial" w:cs="Arial"/>
          <w:b/>
          <w:bCs/>
          <w:i/>
          <w:iCs/>
          <w:sz w:val="20"/>
          <w:szCs w:val="20"/>
          <w:lang w:val="en-GB"/>
        </w:rPr>
        <w:t>For frequency-domain Soft resource:</w:t>
      </w:r>
      <w:r w:rsidRPr="008413E7">
        <w:rPr>
          <w:rFonts w:ascii="Arial" w:hAnsi="Arial" w:cs="Arial"/>
          <w:i/>
          <w:iCs/>
          <w:sz w:val="20"/>
          <w:szCs w:val="20"/>
          <w:lang w:val="en-GB"/>
        </w:rPr>
        <w:t xml:space="preserve"> the IAB-DU can use the resource only if it does not impact the MT’s actual ability to transmit and receive in any resource (i.e., both the same RBG and other RBGs).</w:t>
      </w:r>
    </w:p>
    <w:p w14:paraId="5F308B6C" w14:textId="118A77BA" w:rsidR="00EF3B22" w:rsidRPr="00FE7DD3" w:rsidRDefault="00EF3B22" w:rsidP="00FE7DD3">
      <w:pPr>
        <w:pStyle w:val="BodyText"/>
        <w:jc w:val="both"/>
        <w:rPr>
          <w:rStyle w:val="IvDbodytextChar"/>
          <w:sz w:val="20"/>
          <w:lang w:val="en-GB"/>
        </w:rPr>
      </w:pPr>
      <w:r w:rsidRPr="007B36A4">
        <w:rPr>
          <w:rStyle w:val="IvDbodytextChar"/>
          <w:sz w:val="20"/>
          <w:lang w:val="en-GB"/>
        </w:rPr>
        <w:t xml:space="preserve">For </w:t>
      </w:r>
      <w:r w:rsidRPr="00FE7DD3">
        <w:rPr>
          <w:rStyle w:val="IvDbodytextChar"/>
          <w:sz w:val="20"/>
          <w:lang w:val="en-GB"/>
        </w:rPr>
        <w:t xml:space="preserve">IAB-nodes with no TDM required capability, the same would apply in </w:t>
      </w:r>
      <w:r w:rsidR="00882C15" w:rsidRPr="00FE7DD3">
        <w:rPr>
          <w:rStyle w:val="IvDbodytextChar"/>
          <w:sz w:val="20"/>
          <w:lang w:val="en-GB"/>
        </w:rPr>
        <w:t xml:space="preserve">TDM </w:t>
      </w:r>
      <w:r w:rsidRPr="00FE7DD3">
        <w:rPr>
          <w:rStyle w:val="IvDbodytextChar"/>
          <w:sz w:val="20"/>
          <w:lang w:val="en-GB"/>
        </w:rPr>
        <w:t>Soft</w:t>
      </w:r>
      <w:r w:rsidR="00882C15" w:rsidRPr="00FE7DD3">
        <w:rPr>
          <w:rStyle w:val="IvDbodytextChar"/>
          <w:sz w:val="20"/>
          <w:lang w:val="en-GB"/>
        </w:rPr>
        <w:t xml:space="preserve"> resources.</w:t>
      </w:r>
    </w:p>
    <w:p w14:paraId="03E9FF93" w14:textId="63E7C920" w:rsidR="00935A5C" w:rsidRPr="00E25D4B" w:rsidRDefault="006508B6" w:rsidP="007300CA">
      <w:pPr>
        <w:pStyle w:val="Observation"/>
        <w:rPr>
          <w:rStyle w:val="IvDbodytextChar"/>
          <w:b w:val="0"/>
          <w:sz w:val="20"/>
          <w:szCs w:val="20"/>
          <w:lang w:val="en-US" w:eastAsia="en-US"/>
        </w:rPr>
      </w:pPr>
      <w:bookmarkStart w:id="55" w:name="_Toc71663381"/>
      <w:r w:rsidRPr="7500903C">
        <w:rPr>
          <w:rStyle w:val="IvDbodytextChar"/>
          <w:sz w:val="20"/>
          <w:szCs w:val="20"/>
        </w:rPr>
        <w:t>Using FDM</w:t>
      </w:r>
      <w:r w:rsidR="002D67F5">
        <w:rPr>
          <w:rStyle w:val="IvDbodytextChar"/>
          <w:sz w:val="20"/>
          <w:szCs w:val="20"/>
        </w:rPr>
        <w:t xml:space="preserve"> (</w:t>
      </w:r>
      <w:r w:rsidR="00293ADE" w:rsidRPr="7500903C">
        <w:rPr>
          <w:rStyle w:val="IvDbodytextChar"/>
          <w:sz w:val="20"/>
          <w:szCs w:val="20"/>
        </w:rPr>
        <w:t>and</w:t>
      </w:r>
      <w:r w:rsidR="00882C15" w:rsidRPr="7500903C">
        <w:rPr>
          <w:rStyle w:val="IvDbodytextChar"/>
          <w:sz w:val="20"/>
          <w:szCs w:val="20"/>
        </w:rPr>
        <w:t xml:space="preserve"> TDM for </w:t>
      </w:r>
      <w:r w:rsidR="002D67F5" w:rsidRPr="7500903C">
        <w:rPr>
          <w:rStyle w:val="IvDbodytextChar"/>
          <w:sz w:val="20"/>
          <w:szCs w:val="20"/>
        </w:rPr>
        <w:t>IAB nodes</w:t>
      </w:r>
      <w:r w:rsidR="002D67F5">
        <w:rPr>
          <w:rStyle w:val="IvDbodytextChar"/>
          <w:sz w:val="20"/>
          <w:szCs w:val="20"/>
        </w:rPr>
        <w:t xml:space="preserve"> that do not </w:t>
      </w:r>
      <w:r w:rsidR="002D67F5" w:rsidRPr="002D67F5">
        <w:rPr>
          <w:rStyle w:val="IvDbodytextChar"/>
          <w:sz w:val="20"/>
          <w:szCs w:val="20"/>
        </w:rPr>
        <w:t xml:space="preserve">require </w:t>
      </w:r>
      <w:r w:rsidR="00882C15" w:rsidRPr="00FE7DD3">
        <w:rPr>
          <w:rStyle w:val="IvDbodytextChar"/>
          <w:sz w:val="20"/>
          <w:szCs w:val="20"/>
        </w:rPr>
        <w:t>TDM</w:t>
      </w:r>
      <w:r w:rsidR="002D67F5">
        <w:rPr>
          <w:rStyle w:val="IvDbodytextChar"/>
          <w:sz w:val="20"/>
          <w:szCs w:val="20"/>
        </w:rPr>
        <w:t>)</w:t>
      </w:r>
      <w:r w:rsidRPr="7500903C">
        <w:rPr>
          <w:rStyle w:val="IvDbodytextChar"/>
          <w:sz w:val="20"/>
          <w:szCs w:val="20"/>
        </w:rPr>
        <w:t xml:space="preserve"> H/S/NA </w:t>
      </w:r>
      <w:r w:rsidR="00521D96" w:rsidRPr="7500903C">
        <w:rPr>
          <w:rStyle w:val="IvDbodytextChar"/>
          <w:sz w:val="20"/>
          <w:szCs w:val="20"/>
        </w:rPr>
        <w:t xml:space="preserve">resource </w:t>
      </w:r>
      <w:r w:rsidRPr="7500903C">
        <w:rPr>
          <w:rStyle w:val="IvDbodytextChar"/>
          <w:sz w:val="20"/>
          <w:szCs w:val="20"/>
        </w:rPr>
        <w:t xml:space="preserve">configuration, </w:t>
      </w:r>
      <w:r w:rsidR="004C4005" w:rsidRPr="7500903C">
        <w:rPr>
          <w:rStyle w:val="IvDbodytextChar"/>
          <w:sz w:val="20"/>
          <w:szCs w:val="20"/>
        </w:rPr>
        <w:t xml:space="preserve">Soft resources </w:t>
      </w:r>
      <w:r w:rsidR="00837AE9" w:rsidRPr="7500903C">
        <w:rPr>
          <w:rStyle w:val="IvDbodytextChar"/>
          <w:sz w:val="20"/>
          <w:szCs w:val="20"/>
        </w:rPr>
        <w:t>can</w:t>
      </w:r>
      <w:r w:rsidR="004C4005" w:rsidRPr="7500903C">
        <w:rPr>
          <w:rStyle w:val="IvDbodytextChar"/>
          <w:sz w:val="20"/>
          <w:szCs w:val="20"/>
        </w:rPr>
        <w:t xml:space="preserve"> be used for SDM simultaneous operation</w:t>
      </w:r>
      <w:r w:rsidR="00521D96" w:rsidRPr="7500903C">
        <w:rPr>
          <w:rStyle w:val="IvDbodytextChar"/>
          <w:sz w:val="20"/>
          <w:szCs w:val="20"/>
        </w:rPr>
        <w:t xml:space="preserve"> with implicit indication</w:t>
      </w:r>
      <w:r w:rsidR="00606EB7" w:rsidRPr="7500903C">
        <w:rPr>
          <w:rStyle w:val="IvDbodytextChar"/>
          <w:sz w:val="20"/>
          <w:szCs w:val="20"/>
        </w:rPr>
        <w:t xml:space="preserve"> and is a</w:t>
      </w:r>
      <w:r w:rsidR="00CC330C" w:rsidRPr="7500903C">
        <w:rPr>
          <w:rStyle w:val="IvDbodytextChar"/>
          <w:sz w:val="20"/>
          <w:szCs w:val="20"/>
        </w:rPr>
        <w:t>nalog to</w:t>
      </w:r>
      <w:r w:rsidR="00606EB7" w:rsidRPr="7500903C">
        <w:rPr>
          <w:rStyle w:val="IvDbodytextChar"/>
          <w:sz w:val="20"/>
          <w:szCs w:val="20"/>
        </w:rPr>
        <w:t xml:space="preserve"> Rel-16 H/S/NA specification</w:t>
      </w:r>
      <w:r w:rsidR="004C4005" w:rsidRPr="7500903C">
        <w:rPr>
          <w:rStyle w:val="IvDbodytextChar"/>
          <w:sz w:val="20"/>
          <w:szCs w:val="20"/>
        </w:rPr>
        <w:t>.</w:t>
      </w:r>
      <w:bookmarkEnd w:id="55"/>
    </w:p>
    <w:p w14:paraId="19D46473" w14:textId="0FBED428" w:rsidR="006508B6" w:rsidRPr="00A94F87" w:rsidRDefault="00231407" w:rsidP="007300CA">
      <w:pPr>
        <w:pStyle w:val="Proposal"/>
      </w:pPr>
      <w:bookmarkStart w:id="56" w:name="_Toc71663397"/>
      <w:r w:rsidRPr="00A94F87">
        <w:t xml:space="preserve">Resources for </w:t>
      </w:r>
      <w:r w:rsidR="00122CBB" w:rsidRPr="00A94F87">
        <w:t xml:space="preserve">SDM </w:t>
      </w:r>
      <w:r w:rsidRPr="00A94F87">
        <w:t>are</w:t>
      </w:r>
      <w:r w:rsidR="00122CBB" w:rsidRPr="00A94F87">
        <w:t xml:space="preserve"> available </w:t>
      </w:r>
      <w:r w:rsidR="00830514" w:rsidRPr="00A94F87">
        <w:t>in</w:t>
      </w:r>
      <w:r w:rsidR="00122CBB" w:rsidRPr="00A94F87">
        <w:t xml:space="preserve"> FDM</w:t>
      </w:r>
      <w:r w:rsidR="002D67F5" w:rsidRPr="00A94F87">
        <w:t xml:space="preserve"> (and TDM for IAB nodes that do not require TDM)</w:t>
      </w:r>
      <w:r w:rsidR="00122CBB" w:rsidRPr="00A94F87">
        <w:t xml:space="preserve"> Soft resources through implicit indication.</w:t>
      </w:r>
      <w:bookmarkEnd w:id="56"/>
    </w:p>
    <w:p w14:paraId="3D0A9917" w14:textId="0D524423" w:rsidR="008C267B" w:rsidRPr="00E25D4B" w:rsidRDefault="00BA18E1" w:rsidP="006740AE">
      <w:pPr>
        <w:jc w:val="both"/>
        <w:rPr>
          <w:rStyle w:val="IvDbodytextChar"/>
          <w:iCs/>
          <w:sz w:val="20"/>
          <w:lang w:val="en-GB"/>
        </w:rPr>
      </w:pPr>
      <w:r w:rsidRPr="00E25D4B">
        <w:rPr>
          <w:rStyle w:val="IvDbodytextChar"/>
          <w:iCs/>
          <w:sz w:val="20"/>
          <w:lang w:val="en-GB"/>
        </w:rPr>
        <w:t xml:space="preserve">In order for the above to work, it is necessary </w:t>
      </w:r>
      <w:r w:rsidR="006D0571" w:rsidRPr="00E25D4B">
        <w:rPr>
          <w:rStyle w:val="IvDbodytextChar"/>
          <w:iCs/>
          <w:sz w:val="20"/>
          <w:lang w:val="en-GB"/>
        </w:rPr>
        <w:t xml:space="preserve">for the IAB node </w:t>
      </w:r>
      <w:r w:rsidRPr="00E25D4B">
        <w:rPr>
          <w:rStyle w:val="IvDbodytextChar"/>
          <w:iCs/>
          <w:sz w:val="20"/>
          <w:lang w:val="en-GB"/>
        </w:rPr>
        <w:t xml:space="preserve">to </w:t>
      </w:r>
      <w:r w:rsidR="001A796E" w:rsidRPr="00E25D4B">
        <w:rPr>
          <w:rStyle w:val="IvDbodytextChar"/>
          <w:iCs/>
          <w:sz w:val="20"/>
          <w:lang w:val="en-GB"/>
        </w:rPr>
        <w:t xml:space="preserve">know which beams of the IAB-DU cause </w:t>
      </w:r>
      <w:r w:rsidR="000356B3">
        <w:rPr>
          <w:rStyle w:val="IvDbodytextChar"/>
          <w:iCs/>
          <w:sz w:val="20"/>
          <w:lang w:val="en-GB"/>
        </w:rPr>
        <w:t>so much</w:t>
      </w:r>
      <w:r w:rsidR="001A796E" w:rsidRPr="00E25D4B">
        <w:rPr>
          <w:rStyle w:val="IvDbodytextChar"/>
          <w:iCs/>
          <w:sz w:val="20"/>
          <w:lang w:val="en-GB"/>
        </w:rPr>
        <w:t xml:space="preserve"> interference in the </w:t>
      </w:r>
      <w:r w:rsidR="006D0571" w:rsidRPr="00E25D4B">
        <w:rPr>
          <w:rStyle w:val="IvDbodytextChar"/>
          <w:iCs/>
          <w:sz w:val="20"/>
          <w:lang w:val="en-GB"/>
        </w:rPr>
        <w:t xml:space="preserve">IAB-MT’s </w:t>
      </w:r>
      <w:r w:rsidRPr="00E25D4B">
        <w:rPr>
          <w:rStyle w:val="IvDbodytextChar"/>
          <w:iCs/>
          <w:sz w:val="20"/>
          <w:lang w:val="en-GB"/>
        </w:rPr>
        <w:t>serving beam towards the parent IAB node</w:t>
      </w:r>
      <w:r w:rsidR="001A796E" w:rsidRPr="00E25D4B">
        <w:rPr>
          <w:rStyle w:val="IvDbodytextChar"/>
          <w:iCs/>
          <w:sz w:val="20"/>
          <w:lang w:val="en-GB"/>
        </w:rPr>
        <w:t xml:space="preserve"> </w:t>
      </w:r>
      <w:r w:rsidR="008C267B" w:rsidRPr="00E25D4B">
        <w:rPr>
          <w:rStyle w:val="IvDbodytextChar"/>
          <w:iCs/>
          <w:sz w:val="20"/>
          <w:lang w:val="en-GB"/>
        </w:rPr>
        <w:t xml:space="preserve">that the IAB-MT’s communication with the parent IAB node is </w:t>
      </w:r>
      <w:r w:rsidR="008C267B" w:rsidRPr="00E25D4B">
        <w:rPr>
          <w:rStyle w:val="IvDbodytextChar"/>
          <w:i/>
          <w:sz w:val="20"/>
          <w:lang w:val="en-GB"/>
        </w:rPr>
        <w:t>changed</w:t>
      </w:r>
      <w:r w:rsidRPr="00E25D4B">
        <w:rPr>
          <w:rStyle w:val="IvDbodytextChar"/>
          <w:iCs/>
          <w:sz w:val="20"/>
          <w:lang w:val="en-GB"/>
        </w:rPr>
        <w:t>.</w:t>
      </w:r>
    </w:p>
    <w:p w14:paraId="5665A5DF" w14:textId="520DA6C3" w:rsidR="00285876" w:rsidRPr="00E25D4B" w:rsidRDefault="006D0571" w:rsidP="006740AE">
      <w:pPr>
        <w:jc w:val="both"/>
        <w:rPr>
          <w:rStyle w:val="IvDbodytextChar"/>
          <w:sz w:val="20"/>
          <w:szCs w:val="20"/>
          <w:lang w:val="en-GB"/>
        </w:rPr>
      </w:pPr>
      <w:r w:rsidRPr="0C69C0AA">
        <w:rPr>
          <w:rStyle w:val="IvDbodytextChar"/>
          <w:sz w:val="20"/>
          <w:szCs w:val="20"/>
          <w:lang w:val="en-GB"/>
        </w:rPr>
        <w:t>Considering</w:t>
      </w:r>
      <w:r w:rsidR="00BA18E1" w:rsidRPr="0C69C0AA">
        <w:rPr>
          <w:rStyle w:val="IvDbodytextChar"/>
          <w:sz w:val="20"/>
          <w:szCs w:val="20"/>
          <w:lang w:val="en-GB"/>
        </w:rPr>
        <w:t xml:space="preserve"> </w:t>
      </w:r>
      <w:r w:rsidR="00D67520" w:rsidRPr="0C69C0AA">
        <w:rPr>
          <w:rStyle w:val="IvDbodytextChar"/>
          <w:sz w:val="20"/>
          <w:szCs w:val="20"/>
          <w:lang w:val="en-GB"/>
        </w:rPr>
        <w:t>C</w:t>
      </w:r>
      <w:r w:rsidRPr="0C69C0AA">
        <w:rPr>
          <w:rStyle w:val="IvDbodytextChar"/>
          <w:sz w:val="20"/>
          <w:szCs w:val="20"/>
          <w:lang w:val="en-GB"/>
        </w:rPr>
        <w:t xml:space="preserve">ase </w:t>
      </w:r>
      <w:r w:rsidR="00D67520" w:rsidRPr="0C69C0AA">
        <w:rPr>
          <w:rStyle w:val="IvDbodytextChar"/>
          <w:sz w:val="20"/>
          <w:szCs w:val="20"/>
          <w:lang w:val="en-GB"/>
        </w:rPr>
        <w:t>A,</w:t>
      </w:r>
      <w:r w:rsidRPr="0C69C0AA">
        <w:rPr>
          <w:rStyle w:val="IvDbodytextChar"/>
          <w:sz w:val="20"/>
          <w:szCs w:val="20"/>
          <w:lang w:val="en-GB"/>
        </w:rPr>
        <w:t xml:space="preserve"> </w:t>
      </w:r>
      <w:r w:rsidR="00BA18E1" w:rsidRPr="0C69C0AA">
        <w:rPr>
          <w:rStyle w:val="IvDbodytextChar"/>
          <w:sz w:val="20"/>
          <w:szCs w:val="20"/>
          <w:lang w:val="en-GB"/>
        </w:rPr>
        <w:t>simultaneous transmission</w:t>
      </w:r>
      <w:r w:rsidRPr="0C69C0AA">
        <w:rPr>
          <w:rStyle w:val="IvDbodytextChar"/>
          <w:sz w:val="20"/>
          <w:szCs w:val="20"/>
          <w:lang w:val="en-GB"/>
        </w:rPr>
        <w:t>,</w:t>
      </w:r>
      <w:r w:rsidR="00BA18E1" w:rsidRPr="0C69C0AA">
        <w:rPr>
          <w:rStyle w:val="IvDbodytextChar"/>
          <w:sz w:val="20"/>
          <w:szCs w:val="20"/>
          <w:lang w:val="en-GB"/>
        </w:rPr>
        <w:t xml:space="preserve"> </w:t>
      </w:r>
      <w:r w:rsidR="00912F46" w:rsidRPr="0C69C0AA">
        <w:rPr>
          <w:rStyle w:val="IvDbodytextChar"/>
          <w:sz w:val="20"/>
          <w:szCs w:val="20"/>
          <w:lang w:val="en-GB"/>
        </w:rPr>
        <w:t xml:space="preserve">from the parent IAB node’s perspective, it is possible </w:t>
      </w:r>
      <w:r w:rsidRPr="0C69C0AA">
        <w:rPr>
          <w:rStyle w:val="IvDbodytextChar"/>
          <w:sz w:val="20"/>
          <w:szCs w:val="20"/>
          <w:lang w:val="en-GB"/>
        </w:rPr>
        <w:t xml:space="preserve">for the parent IAB node </w:t>
      </w:r>
      <w:r w:rsidR="00912F46" w:rsidRPr="0C69C0AA">
        <w:rPr>
          <w:rStyle w:val="IvDbodytextChar"/>
          <w:sz w:val="20"/>
          <w:szCs w:val="20"/>
          <w:lang w:val="en-GB"/>
        </w:rPr>
        <w:t>to receive the IAB-SSBs transmitted by the IAB node and thereby assess</w:t>
      </w:r>
      <w:r w:rsidR="00F33FB4" w:rsidRPr="0C69C0AA">
        <w:rPr>
          <w:rStyle w:val="IvDbodytextChar"/>
          <w:sz w:val="20"/>
          <w:szCs w:val="20"/>
          <w:lang w:val="en-GB"/>
        </w:rPr>
        <w:t>ing</w:t>
      </w:r>
      <w:r w:rsidR="00912F46" w:rsidRPr="0C69C0AA">
        <w:rPr>
          <w:rStyle w:val="IvDbodytextChar"/>
          <w:sz w:val="20"/>
          <w:szCs w:val="20"/>
          <w:lang w:val="en-GB"/>
        </w:rPr>
        <w:t xml:space="preserve"> which IAB-SSB beams will cause too </w:t>
      </w:r>
      <w:r w:rsidR="00285876" w:rsidRPr="0C69C0AA">
        <w:rPr>
          <w:rStyle w:val="IvDbodytextChar"/>
          <w:sz w:val="20"/>
          <w:szCs w:val="20"/>
          <w:lang w:val="en-GB"/>
        </w:rPr>
        <w:t>much</w:t>
      </w:r>
      <w:r w:rsidR="00912F46" w:rsidRPr="0C69C0AA">
        <w:rPr>
          <w:rStyle w:val="IvDbodytextChar"/>
          <w:sz w:val="20"/>
          <w:szCs w:val="20"/>
          <w:lang w:val="en-GB"/>
        </w:rPr>
        <w:t xml:space="preserve"> interference to jeopardize </w:t>
      </w:r>
      <w:r w:rsidR="00D67520" w:rsidRPr="0C69C0AA">
        <w:rPr>
          <w:rStyle w:val="IvDbodytextChar"/>
          <w:sz w:val="20"/>
          <w:szCs w:val="20"/>
          <w:lang w:val="en-GB"/>
        </w:rPr>
        <w:t>a transmission from</w:t>
      </w:r>
      <w:r w:rsidR="00912F46" w:rsidRPr="0C69C0AA">
        <w:rPr>
          <w:rStyle w:val="IvDbodytextChar"/>
          <w:sz w:val="20"/>
          <w:szCs w:val="20"/>
          <w:lang w:val="en-GB"/>
        </w:rPr>
        <w:t xml:space="preserve"> IAB node </w:t>
      </w:r>
      <w:r w:rsidR="00D67520" w:rsidRPr="0C69C0AA">
        <w:rPr>
          <w:rStyle w:val="IvDbodytextChar"/>
          <w:sz w:val="20"/>
          <w:szCs w:val="20"/>
          <w:lang w:val="en-GB"/>
        </w:rPr>
        <w:t xml:space="preserve">using its serving </w:t>
      </w:r>
      <w:r w:rsidR="00A927B8">
        <w:rPr>
          <w:rStyle w:val="IvDbodytextChar"/>
          <w:sz w:val="20"/>
          <w:szCs w:val="20"/>
          <w:lang w:val="en-GB"/>
        </w:rPr>
        <w:t xml:space="preserve">beam </w:t>
      </w:r>
      <w:r w:rsidR="00D67520" w:rsidRPr="0C69C0AA">
        <w:rPr>
          <w:rStyle w:val="IvDbodytextChar"/>
          <w:sz w:val="20"/>
          <w:szCs w:val="20"/>
          <w:lang w:val="en-GB"/>
        </w:rPr>
        <w:t xml:space="preserve">towards its </w:t>
      </w:r>
      <w:r w:rsidR="00912F46" w:rsidRPr="0C69C0AA">
        <w:rPr>
          <w:rStyle w:val="IvDbodytextChar"/>
          <w:sz w:val="20"/>
          <w:szCs w:val="20"/>
          <w:lang w:val="en-GB"/>
        </w:rPr>
        <w:t xml:space="preserve">parent </w:t>
      </w:r>
      <w:r w:rsidR="00D67520" w:rsidRPr="0C69C0AA">
        <w:rPr>
          <w:rStyle w:val="IvDbodytextChar"/>
          <w:sz w:val="20"/>
          <w:szCs w:val="20"/>
          <w:lang w:val="en-GB"/>
        </w:rPr>
        <w:t xml:space="preserve">IAB </w:t>
      </w:r>
      <w:r w:rsidR="00912F46" w:rsidRPr="0C69C0AA">
        <w:rPr>
          <w:rStyle w:val="IvDbodytextChar"/>
          <w:sz w:val="20"/>
          <w:szCs w:val="20"/>
          <w:lang w:val="en-GB"/>
        </w:rPr>
        <w:t>node.</w:t>
      </w:r>
      <w:r w:rsidR="00BE0296" w:rsidRPr="0C69C0AA">
        <w:rPr>
          <w:rStyle w:val="IvDbodytextChar"/>
          <w:sz w:val="20"/>
          <w:szCs w:val="20"/>
          <w:lang w:val="en-GB"/>
        </w:rPr>
        <w:t xml:space="preserve"> I</w:t>
      </w:r>
      <w:r w:rsidR="00912F46" w:rsidRPr="0C69C0AA">
        <w:rPr>
          <w:rStyle w:val="IvDbodytextChar"/>
          <w:sz w:val="20"/>
          <w:szCs w:val="20"/>
          <w:lang w:val="en-GB"/>
        </w:rPr>
        <w:t>n order for the IAB node to know</w:t>
      </w:r>
      <w:r w:rsidR="00285876" w:rsidRPr="0C69C0AA">
        <w:rPr>
          <w:rStyle w:val="IvDbodytextChar"/>
          <w:sz w:val="20"/>
          <w:szCs w:val="20"/>
          <w:lang w:val="en-GB"/>
        </w:rPr>
        <w:t xml:space="preserve"> which beams </w:t>
      </w:r>
      <w:r w:rsidR="5026B14D" w:rsidRPr="0C69C0AA">
        <w:rPr>
          <w:rStyle w:val="IvDbodytextChar"/>
          <w:sz w:val="20"/>
          <w:szCs w:val="20"/>
          <w:lang w:val="en-GB"/>
        </w:rPr>
        <w:t>should</w:t>
      </w:r>
      <w:r w:rsidR="00D82919" w:rsidRPr="0C69C0AA">
        <w:rPr>
          <w:rStyle w:val="IvDbodytextChar"/>
          <w:sz w:val="20"/>
          <w:szCs w:val="20"/>
          <w:lang w:val="en-GB"/>
        </w:rPr>
        <w:t xml:space="preserve"> be avoided</w:t>
      </w:r>
      <w:r w:rsidR="00912F46" w:rsidRPr="0C69C0AA">
        <w:rPr>
          <w:rStyle w:val="IvDbodytextChar"/>
          <w:sz w:val="20"/>
          <w:szCs w:val="20"/>
          <w:lang w:val="en-GB"/>
        </w:rPr>
        <w:t xml:space="preserve">, the parent IAB node </w:t>
      </w:r>
      <w:r w:rsidR="00D82919" w:rsidRPr="0C69C0AA">
        <w:rPr>
          <w:rStyle w:val="IvDbodytextChar"/>
          <w:sz w:val="20"/>
          <w:szCs w:val="20"/>
          <w:lang w:val="en-GB"/>
        </w:rPr>
        <w:t>can</w:t>
      </w:r>
      <w:r w:rsidR="00912F46" w:rsidRPr="0C69C0AA">
        <w:rPr>
          <w:rStyle w:val="IvDbodytextChar"/>
          <w:sz w:val="20"/>
          <w:szCs w:val="20"/>
          <w:lang w:val="en-GB"/>
        </w:rPr>
        <w:t xml:space="preserve"> </w:t>
      </w:r>
      <w:r w:rsidR="00D82919" w:rsidRPr="0C69C0AA">
        <w:rPr>
          <w:rStyle w:val="IvDbodytextChar"/>
          <w:sz w:val="20"/>
          <w:szCs w:val="20"/>
          <w:lang w:val="en-GB"/>
        </w:rPr>
        <w:t>signal the</w:t>
      </w:r>
      <w:r w:rsidR="00912F46" w:rsidRPr="0C69C0AA">
        <w:rPr>
          <w:rStyle w:val="IvDbodytextChar"/>
          <w:sz w:val="20"/>
          <w:szCs w:val="20"/>
          <w:lang w:val="en-GB"/>
        </w:rPr>
        <w:t xml:space="preserve"> set of beams that </w:t>
      </w:r>
      <w:r w:rsidR="00D82919" w:rsidRPr="0C69C0AA">
        <w:rPr>
          <w:rStyle w:val="IvDbodytextChar"/>
          <w:sz w:val="20"/>
          <w:szCs w:val="20"/>
          <w:lang w:val="en-GB"/>
        </w:rPr>
        <w:t>are restricted from being used by the IAB node</w:t>
      </w:r>
      <w:r w:rsidR="00912F46" w:rsidRPr="0C69C0AA">
        <w:rPr>
          <w:rStyle w:val="IvDbodytextChar"/>
          <w:sz w:val="20"/>
          <w:szCs w:val="20"/>
          <w:lang w:val="en-GB"/>
        </w:rPr>
        <w:t xml:space="preserve"> in space domain </w:t>
      </w:r>
      <w:r w:rsidR="000C52D7" w:rsidRPr="0C69C0AA">
        <w:rPr>
          <w:rStyle w:val="IvDbodytextChar"/>
          <w:sz w:val="20"/>
          <w:szCs w:val="20"/>
          <w:lang w:val="en-GB"/>
        </w:rPr>
        <w:t>Case A</w:t>
      </w:r>
      <w:r w:rsidR="00BE0296" w:rsidRPr="0C69C0AA">
        <w:rPr>
          <w:rStyle w:val="IvDbodytextChar"/>
          <w:sz w:val="20"/>
          <w:szCs w:val="20"/>
          <w:lang w:val="en-GB"/>
        </w:rPr>
        <w:t>,</w:t>
      </w:r>
      <w:r w:rsidR="000C52D7" w:rsidRPr="0C69C0AA">
        <w:rPr>
          <w:rStyle w:val="IvDbodytextChar"/>
          <w:sz w:val="20"/>
          <w:szCs w:val="20"/>
          <w:lang w:val="en-GB"/>
        </w:rPr>
        <w:t xml:space="preserve"> </w:t>
      </w:r>
      <w:r w:rsidR="00912F46" w:rsidRPr="0C69C0AA">
        <w:rPr>
          <w:rStyle w:val="IvDbodytextChar"/>
          <w:sz w:val="20"/>
          <w:szCs w:val="20"/>
          <w:lang w:val="en-GB"/>
        </w:rPr>
        <w:t xml:space="preserve">simultaneous </w:t>
      </w:r>
      <w:r w:rsidR="00BE0296" w:rsidRPr="0C69C0AA">
        <w:rPr>
          <w:rStyle w:val="IvDbodytextChar"/>
          <w:sz w:val="20"/>
          <w:szCs w:val="20"/>
          <w:lang w:val="en-GB"/>
        </w:rPr>
        <w:t>transmission,</w:t>
      </w:r>
      <w:r w:rsidR="00D82919" w:rsidRPr="0C69C0AA">
        <w:rPr>
          <w:rStyle w:val="IvDbodytextChar"/>
          <w:sz w:val="20"/>
          <w:szCs w:val="20"/>
          <w:lang w:val="en-GB"/>
        </w:rPr>
        <w:t xml:space="preserve"> whe</w:t>
      </w:r>
      <w:r w:rsidR="00BE0296" w:rsidRPr="0C69C0AA">
        <w:rPr>
          <w:rStyle w:val="IvDbodytextChar"/>
          <w:sz w:val="20"/>
          <w:szCs w:val="20"/>
          <w:lang w:val="en-GB"/>
        </w:rPr>
        <w:t>n</w:t>
      </w:r>
      <w:r w:rsidR="00D82919" w:rsidRPr="0C69C0AA">
        <w:rPr>
          <w:rStyle w:val="IvDbodytextChar"/>
          <w:sz w:val="20"/>
          <w:szCs w:val="20"/>
          <w:lang w:val="en-GB"/>
        </w:rPr>
        <w:t xml:space="preserve"> the parent IAB node is </w:t>
      </w:r>
      <w:r w:rsidR="000C52D7" w:rsidRPr="0C69C0AA">
        <w:rPr>
          <w:rStyle w:val="IvDbodytextChar"/>
          <w:sz w:val="20"/>
          <w:szCs w:val="20"/>
          <w:lang w:val="en-GB"/>
        </w:rPr>
        <w:t>receiving</w:t>
      </w:r>
      <w:r w:rsidR="00912F46" w:rsidRPr="0C69C0AA">
        <w:rPr>
          <w:rStyle w:val="IvDbodytextChar"/>
          <w:sz w:val="20"/>
          <w:szCs w:val="20"/>
          <w:lang w:val="en-GB"/>
        </w:rPr>
        <w:t>.</w:t>
      </w:r>
    </w:p>
    <w:p w14:paraId="6B89673D" w14:textId="1ACD7038" w:rsidR="00D82919" w:rsidRPr="00E25D4B" w:rsidRDefault="00E90020" w:rsidP="007300CA">
      <w:pPr>
        <w:pStyle w:val="Proposal"/>
        <w:rPr>
          <w:rStyle w:val="IvDbodytextChar"/>
          <w:b w:val="0"/>
          <w:sz w:val="20"/>
          <w:lang w:val="en-US"/>
        </w:rPr>
      </w:pPr>
      <w:bookmarkStart w:id="57" w:name="_Toc71663398"/>
      <w:r w:rsidRPr="00E25D4B">
        <w:rPr>
          <w:rStyle w:val="IvDbodytextChar"/>
          <w:iCs/>
          <w:sz w:val="20"/>
        </w:rPr>
        <w:t>In SDM Case A</w:t>
      </w:r>
      <w:r w:rsidR="00887CD1" w:rsidRPr="00E25D4B">
        <w:rPr>
          <w:rStyle w:val="IvDbodytextChar"/>
          <w:iCs/>
          <w:sz w:val="20"/>
        </w:rPr>
        <w:t>,</w:t>
      </w:r>
      <w:r w:rsidRPr="00E25D4B">
        <w:rPr>
          <w:rStyle w:val="IvDbodytextChar"/>
          <w:iCs/>
          <w:sz w:val="20"/>
        </w:rPr>
        <w:t xml:space="preserve"> simultaneous transmission, t</w:t>
      </w:r>
      <w:r w:rsidR="00D82919" w:rsidRPr="00E25D4B">
        <w:rPr>
          <w:rStyle w:val="IvDbodytextChar"/>
          <w:iCs/>
          <w:sz w:val="20"/>
        </w:rPr>
        <w:t xml:space="preserve">he parent IAB node </w:t>
      </w:r>
      <w:r w:rsidR="00114363" w:rsidRPr="00E25D4B">
        <w:rPr>
          <w:rStyle w:val="IvDbodytextChar"/>
          <w:iCs/>
          <w:sz w:val="20"/>
        </w:rPr>
        <w:t xml:space="preserve">dynamically </w:t>
      </w:r>
      <w:r w:rsidR="00D82919" w:rsidRPr="00E25D4B">
        <w:rPr>
          <w:rStyle w:val="IvDbodytextChar"/>
          <w:iCs/>
          <w:sz w:val="20"/>
        </w:rPr>
        <w:t xml:space="preserve">signals a list of restricted </w:t>
      </w:r>
      <w:r w:rsidR="00E35D99" w:rsidRPr="00E25D4B">
        <w:rPr>
          <w:rStyle w:val="IvDbodytextChar"/>
          <w:iCs/>
          <w:sz w:val="20"/>
        </w:rPr>
        <w:t xml:space="preserve">SSB </w:t>
      </w:r>
      <w:r w:rsidR="00D82919" w:rsidRPr="00E25D4B">
        <w:rPr>
          <w:rStyle w:val="IvDbodytextChar"/>
          <w:iCs/>
          <w:sz w:val="20"/>
        </w:rPr>
        <w:t xml:space="preserve">beams that </w:t>
      </w:r>
      <w:r w:rsidR="00114363" w:rsidRPr="00E25D4B">
        <w:rPr>
          <w:rStyle w:val="IvDbodytextChar"/>
          <w:iCs/>
          <w:sz w:val="20"/>
        </w:rPr>
        <w:t xml:space="preserve">may affect the reception of the serving beam of </w:t>
      </w:r>
      <w:r w:rsidR="00D82919" w:rsidRPr="00E25D4B">
        <w:rPr>
          <w:rStyle w:val="IvDbodytextChar"/>
          <w:iCs/>
          <w:sz w:val="20"/>
        </w:rPr>
        <w:t>the IAB</w:t>
      </w:r>
      <w:r w:rsidR="00114363" w:rsidRPr="00E25D4B">
        <w:rPr>
          <w:rStyle w:val="IvDbodytextChar"/>
          <w:iCs/>
          <w:sz w:val="20"/>
        </w:rPr>
        <w:t>-MT</w:t>
      </w:r>
      <w:r w:rsidR="00D82919" w:rsidRPr="00E25D4B">
        <w:rPr>
          <w:rStyle w:val="IvDbodytextChar"/>
          <w:iCs/>
          <w:sz w:val="20"/>
        </w:rPr>
        <w:t xml:space="preserve"> </w:t>
      </w:r>
      <w:r w:rsidR="009A451E" w:rsidRPr="00E25D4B">
        <w:rPr>
          <w:rStyle w:val="IvDbodytextChar"/>
          <w:iCs/>
          <w:sz w:val="20"/>
        </w:rPr>
        <w:t>if used by the IAB-DU</w:t>
      </w:r>
      <w:r w:rsidR="00D82919" w:rsidRPr="00E25D4B">
        <w:rPr>
          <w:rStyle w:val="IvDbodytextChar"/>
          <w:iCs/>
          <w:sz w:val="20"/>
        </w:rPr>
        <w:t>.</w:t>
      </w:r>
      <w:bookmarkEnd w:id="57"/>
    </w:p>
    <w:p w14:paraId="084BB289" w14:textId="6DCB13FC" w:rsidR="00830514" w:rsidRPr="00E25D4B" w:rsidRDefault="00830514" w:rsidP="006740AE">
      <w:pPr>
        <w:jc w:val="both"/>
        <w:rPr>
          <w:rStyle w:val="IvDbodytextChar"/>
          <w:sz w:val="20"/>
          <w:lang w:val="en-GB"/>
        </w:rPr>
      </w:pPr>
      <w:r>
        <w:rPr>
          <w:rStyle w:val="IvDbodytextChar"/>
          <w:iCs/>
          <w:sz w:val="20"/>
        </w:rPr>
        <w:fldChar w:fldCharType="begin"/>
      </w:r>
      <w:r w:rsidRPr="00E25D4B">
        <w:rPr>
          <w:rStyle w:val="IvDbodytextChar"/>
          <w:sz w:val="20"/>
          <w:lang w:val="en-GB"/>
        </w:rPr>
        <w:instrText xml:space="preserve"> REF _Ref71305971 \h  \* MERGEFORMAT </w:instrText>
      </w:r>
      <w:r>
        <w:rPr>
          <w:rStyle w:val="IvDbodytextChar"/>
          <w:iCs/>
          <w:sz w:val="20"/>
        </w:rPr>
      </w:r>
      <w:r>
        <w:rPr>
          <w:rStyle w:val="IvDbodytextChar"/>
          <w:iCs/>
          <w:sz w:val="20"/>
        </w:rPr>
        <w:fldChar w:fldCharType="separate"/>
      </w:r>
      <w:r w:rsidR="00301FA3" w:rsidRPr="00301FA3">
        <w:rPr>
          <w:rStyle w:val="IvDbodytextChar"/>
          <w:sz w:val="20"/>
        </w:rPr>
        <w:t>Figure 4</w:t>
      </w:r>
      <w:r>
        <w:rPr>
          <w:rStyle w:val="IvDbodytextChar"/>
          <w:iCs/>
          <w:sz w:val="20"/>
        </w:rPr>
        <w:fldChar w:fldCharType="end"/>
      </w:r>
      <w:r w:rsidRPr="00E25D4B">
        <w:rPr>
          <w:rStyle w:val="IvDbodytextChar"/>
          <w:sz w:val="20"/>
          <w:lang w:val="en-GB"/>
        </w:rPr>
        <w:t xml:space="preserve"> </w:t>
      </w:r>
      <w:r w:rsidR="000C52D7" w:rsidRPr="00E25D4B">
        <w:rPr>
          <w:rStyle w:val="IvDbodytextChar"/>
          <w:iCs/>
          <w:sz w:val="20"/>
          <w:lang w:val="en-GB"/>
        </w:rPr>
        <w:t>illustrates the above</w:t>
      </w:r>
      <w:r w:rsidRPr="00E25D4B">
        <w:rPr>
          <w:rStyle w:val="IvDbodytextChar"/>
          <w:sz w:val="20"/>
          <w:lang w:val="en-GB"/>
        </w:rPr>
        <w:t xml:space="preserve"> with </w:t>
      </w:r>
      <w:r w:rsidRPr="00E25D4B">
        <w:rPr>
          <w:rStyle w:val="IvDbodytextChar"/>
          <w:iCs/>
          <w:sz w:val="20"/>
          <w:lang w:val="en-GB"/>
        </w:rPr>
        <w:t xml:space="preserve">a scenario with </w:t>
      </w:r>
      <w:r w:rsidRPr="00E25D4B">
        <w:rPr>
          <w:rStyle w:val="IvDbodytextChar"/>
          <w:sz w:val="20"/>
          <w:lang w:val="en-GB"/>
        </w:rPr>
        <w:t xml:space="preserve">an IAB node with 12 SSB beams. </w:t>
      </w:r>
      <w:r w:rsidRPr="00FE7DD3">
        <w:rPr>
          <w:rStyle w:val="IvDbodytextChar"/>
          <w:sz w:val="20"/>
          <w:lang w:val="en-GB"/>
        </w:rPr>
        <w:t>The red beam is used for serving the parent IAB node and the blue beam is used for serving the child IAB node.</w:t>
      </w:r>
      <w:r w:rsidR="00BA18E1" w:rsidRPr="00FE7DD3">
        <w:rPr>
          <w:rStyle w:val="IvDbodytextChar"/>
          <w:sz w:val="20"/>
          <w:lang w:val="en-GB"/>
        </w:rPr>
        <w:t xml:space="preserve"> </w:t>
      </w:r>
      <w:r w:rsidR="00D82919" w:rsidRPr="00FE7DD3">
        <w:rPr>
          <w:rStyle w:val="IvDbodytextChar"/>
          <w:sz w:val="20"/>
          <w:lang w:val="en-GB"/>
        </w:rPr>
        <w:t xml:space="preserve">It also presents a fictive RSRP response for different beams as received by the parent IAB node. </w:t>
      </w:r>
      <w:r w:rsidR="00D82919" w:rsidRPr="00E25D4B">
        <w:rPr>
          <w:rStyle w:val="IvDbodytextChar"/>
          <w:sz w:val="20"/>
          <w:lang w:val="en-GB"/>
        </w:rPr>
        <w:t xml:space="preserve">The parent IAB node may determine that the two (orange) </w:t>
      </w:r>
      <w:r w:rsidR="006C460A" w:rsidRPr="00E25D4B">
        <w:rPr>
          <w:rStyle w:val="IvDbodytextChar"/>
          <w:sz w:val="20"/>
          <w:lang w:val="en-GB"/>
        </w:rPr>
        <w:t>neighbour</w:t>
      </w:r>
      <w:r w:rsidR="00D82919" w:rsidRPr="00E25D4B">
        <w:rPr>
          <w:rStyle w:val="IvDbodytextChar"/>
          <w:sz w:val="20"/>
          <w:lang w:val="en-GB"/>
        </w:rPr>
        <w:t xml:space="preserve"> beams, in relation to the serving beam of the IAB node, cause too much interference for the parent IAB node to properly receive a signal from the IAB node using its serving beam towards the parent IAB node, whereas all (green) remaining beams, including the (blue) serving beam</w:t>
      </w:r>
      <w:r w:rsidR="00403F9A" w:rsidRPr="00E25D4B">
        <w:rPr>
          <w:rStyle w:val="IvDbodytextChar"/>
          <w:iCs/>
          <w:sz w:val="20"/>
          <w:lang w:val="en-GB"/>
        </w:rPr>
        <w:t>,</w:t>
      </w:r>
      <w:r w:rsidR="00D82919" w:rsidRPr="00E25D4B">
        <w:rPr>
          <w:rStyle w:val="IvDbodytextChar"/>
          <w:iCs/>
          <w:sz w:val="20"/>
          <w:lang w:val="en-GB"/>
        </w:rPr>
        <w:t xml:space="preserve"> towards the child IAB node</w:t>
      </w:r>
      <w:r w:rsidR="00BE2410" w:rsidRPr="00E25D4B">
        <w:rPr>
          <w:rStyle w:val="IvDbodytextChar"/>
          <w:iCs/>
          <w:sz w:val="20"/>
          <w:lang w:val="en-GB"/>
        </w:rPr>
        <w:t>, do no</w:t>
      </w:r>
      <w:r w:rsidR="00403F9A" w:rsidRPr="00E25D4B">
        <w:rPr>
          <w:rStyle w:val="IvDbodytextChar"/>
          <w:iCs/>
          <w:sz w:val="20"/>
          <w:lang w:val="en-GB"/>
        </w:rPr>
        <w:t>t</w:t>
      </w:r>
      <w:r w:rsidR="00BE2410" w:rsidRPr="00E25D4B">
        <w:rPr>
          <w:rStyle w:val="IvDbodytextChar"/>
          <w:iCs/>
          <w:sz w:val="20"/>
          <w:lang w:val="en-GB"/>
        </w:rPr>
        <w:t xml:space="preserve"> </w:t>
      </w:r>
      <w:r w:rsidR="003C3999">
        <w:rPr>
          <w:rStyle w:val="IvDbodytextChar"/>
          <w:iCs/>
          <w:sz w:val="20"/>
          <w:lang w:val="en-GB"/>
        </w:rPr>
        <w:t xml:space="preserve">noticeably </w:t>
      </w:r>
      <w:r w:rsidR="00BE2410" w:rsidRPr="00E25D4B">
        <w:rPr>
          <w:rStyle w:val="IvDbodytextChar"/>
          <w:iCs/>
          <w:sz w:val="20"/>
          <w:lang w:val="en-GB"/>
        </w:rPr>
        <w:t>interfere.</w:t>
      </w:r>
      <w:r w:rsidR="00B651EE" w:rsidRPr="00E25D4B">
        <w:rPr>
          <w:rStyle w:val="IvDbodytextChar"/>
          <w:iCs/>
          <w:sz w:val="20"/>
          <w:lang w:val="en-GB"/>
        </w:rPr>
        <w:t xml:space="preserve"> In order to achieve a certain </w:t>
      </w:r>
      <w:r w:rsidR="004E066B">
        <w:rPr>
          <w:rStyle w:val="IvDbodytextChar"/>
          <w:iCs/>
          <w:sz w:val="20"/>
          <w:lang w:val="en-GB"/>
        </w:rPr>
        <w:t xml:space="preserve">link </w:t>
      </w:r>
      <w:r w:rsidR="00B651EE" w:rsidRPr="00E25D4B">
        <w:rPr>
          <w:rStyle w:val="IvDbodytextChar"/>
          <w:iCs/>
          <w:sz w:val="20"/>
          <w:lang w:val="en-GB"/>
        </w:rPr>
        <w:t>performance from the IAB node, the parent node can set a threshold</w:t>
      </w:r>
      <w:r w:rsidR="00916031" w:rsidRPr="00E25D4B">
        <w:rPr>
          <w:rStyle w:val="IvDbodytextChar"/>
          <w:iCs/>
          <w:sz w:val="20"/>
          <w:lang w:val="en-GB"/>
        </w:rPr>
        <w:t xml:space="preserve"> of the acceptable interference level in relation to the IAB </w:t>
      </w:r>
      <w:r w:rsidR="00916031" w:rsidRPr="00E25D4B">
        <w:rPr>
          <w:rStyle w:val="IvDbodytextChar"/>
          <w:iCs/>
          <w:sz w:val="20"/>
          <w:lang w:val="en-GB"/>
        </w:rPr>
        <w:lastRenderedPageBreak/>
        <w:t>node’s serving beam towards the parent IAB node.</w:t>
      </w:r>
      <w:r w:rsidR="009138AF" w:rsidRPr="00E25D4B">
        <w:rPr>
          <w:rStyle w:val="IvDbodytextChar"/>
          <w:iCs/>
          <w:sz w:val="20"/>
          <w:lang w:val="en-GB"/>
        </w:rPr>
        <w:t xml:space="preserve"> The exact determination of which beams to include in the restricted beam set may be left for implementation.</w:t>
      </w:r>
    </w:p>
    <w:p w14:paraId="419EF3DF" w14:textId="538DFAD4" w:rsidR="009138AF" w:rsidRPr="00FE7DD3" w:rsidRDefault="009138AF" w:rsidP="007300CA">
      <w:pPr>
        <w:pStyle w:val="Observation"/>
        <w:rPr>
          <w:rStyle w:val="IvDbodytextChar"/>
          <w:b w:val="0"/>
          <w:sz w:val="20"/>
          <w:lang w:val="en-US" w:eastAsia="en-US"/>
        </w:rPr>
      </w:pPr>
      <w:bookmarkStart w:id="58" w:name="_Toc71663382"/>
      <w:r w:rsidRPr="00B4490D">
        <w:rPr>
          <w:rStyle w:val="IvDbodytextChar"/>
          <w:sz w:val="20"/>
        </w:rPr>
        <w:t xml:space="preserve">Determination of restricted beams in </w:t>
      </w:r>
      <w:r w:rsidR="00257355" w:rsidRPr="00B4490D">
        <w:rPr>
          <w:rStyle w:val="IvDbodytextChar"/>
          <w:sz w:val="20"/>
        </w:rPr>
        <w:t xml:space="preserve">SDM </w:t>
      </w:r>
      <w:r w:rsidRPr="00B4490D">
        <w:rPr>
          <w:rStyle w:val="IvDbodytextChar"/>
          <w:sz w:val="20"/>
        </w:rPr>
        <w:t>is left for implementation.</w:t>
      </w:r>
      <w:bookmarkEnd w:id="58"/>
    </w:p>
    <w:p w14:paraId="3D52EE72" w14:textId="3EA23D02" w:rsidR="00FE5A20" w:rsidRPr="008D126B" w:rsidRDefault="00FE5A20" w:rsidP="006740AE">
      <w:pPr>
        <w:pStyle w:val="BodyText"/>
        <w:jc w:val="both"/>
        <w:rPr>
          <w:lang w:val="en-GB"/>
        </w:rPr>
      </w:pPr>
    </w:p>
    <w:p w14:paraId="53F7ECBA" w14:textId="76AB18DC" w:rsidR="00F00868" w:rsidRPr="00FE7DD3" w:rsidRDefault="00F33FB4" w:rsidP="00FE7DD3">
      <w:pPr>
        <w:pStyle w:val="BodyText"/>
        <w:jc w:val="center"/>
        <w:rPr>
          <w:lang w:val="en-GB"/>
        </w:rPr>
      </w:pPr>
      <w:r>
        <w:rPr>
          <w:noProof/>
        </w:rPr>
        <w:object w:dxaOrig="8731" w:dyaOrig="6000" w14:anchorId="7EDEF1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5pt;height:170.3pt" o:ole="">
            <v:imagedata r:id="rId11" o:title=""/>
          </v:shape>
          <o:OLEObject Type="Embed" ProgID="Visio.Drawing.15" ShapeID="_x0000_i1025" DrawAspect="Content" ObjectID="_1682277302" r:id="rId12"/>
        </w:object>
      </w:r>
      <w:r w:rsidR="0015160C" w:rsidRPr="00FE7DD3">
        <w:rPr>
          <w:lang w:val="en-GB"/>
        </w:rPr>
        <w:t xml:space="preserve">        </w:t>
      </w:r>
      <w:r>
        <w:rPr>
          <w:noProof/>
        </w:rPr>
        <w:object w:dxaOrig="5580" w:dyaOrig="4051" w14:anchorId="40C7D88C">
          <v:shape id="_x0000_i1026" type="#_x0000_t75" style="width:209.75pt;height:152.75pt" o:ole="">
            <v:imagedata r:id="rId13" o:title=""/>
          </v:shape>
          <o:OLEObject Type="Embed" ProgID="Visio.Drawing.15" ShapeID="_x0000_i1026" DrawAspect="Content" ObjectID="_1682277303" r:id="rId14"/>
        </w:object>
      </w:r>
    </w:p>
    <w:p w14:paraId="59250758" w14:textId="153AE2CA" w:rsidR="00153AB9" w:rsidRDefault="00F00868" w:rsidP="006740AE">
      <w:pPr>
        <w:pStyle w:val="Caption"/>
        <w:jc w:val="both"/>
        <w:rPr>
          <w:lang w:val="en-GB"/>
        </w:rPr>
      </w:pPr>
      <w:bookmarkStart w:id="59" w:name="_Ref71305971"/>
      <w:r w:rsidRPr="00FF1CF5">
        <w:rPr>
          <w:lang w:val="en-GB"/>
        </w:rPr>
        <w:t xml:space="preserve">Figure </w:t>
      </w:r>
      <w:r>
        <w:fldChar w:fldCharType="begin"/>
      </w:r>
      <w:r w:rsidRPr="00FF1CF5">
        <w:rPr>
          <w:lang w:val="en-GB"/>
        </w:rPr>
        <w:instrText xml:space="preserve"> SEQ Figure \* ARABIC </w:instrText>
      </w:r>
      <w:r>
        <w:fldChar w:fldCharType="separate"/>
      </w:r>
      <w:r w:rsidR="00301FA3">
        <w:rPr>
          <w:noProof/>
          <w:lang w:val="en-GB"/>
        </w:rPr>
        <w:t>4</w:t>
      </w:r>
      <w:r>
        <w:fldChar w:fldCharType="end"/>
      </w:r>
      <w:bookmarkEnd w:id="59"/>
      <w:r w:rsidRPr="00FF1CF5">
        <w:rPr>
          <w:lang w:val="en-GB"/>
        </w:rPr>
        <w:t xml:space="preserve">: </w:t>
      </w:r>
      <w:r w:rsidR="0012492D" w:rsidRPr="00FF1CF5">
        <w:rPr>
          <w:lang w:val="en-GB"/>
        </w:rPr>
        <w:t>On the left side, a</w:t>
      </w:r>
      <w:r w:rsidR="00960C6A" w:rsidRPr="00FF1CF5">
        <w:rPr>
          <w:lang w:val="en-GB"/>
        </w:rPr>
        <w:t>n IAB node with 12 SSB beams where one</w:t>
      </w:r>
      <w:r w:rsidR="00B8009A">
        <w:rPr>
          <w:lang w:val="en-GB"/>
        </w:rPr>
        <w:t xml:space="preserve"> (red)</w:t>
      </w:r>
      <w:r w:rsidR="00960C6A" w:rsidRPr="00FF1CF5">
        <w:rPr>
          <w:lang w:val="en-GB"/>
        </w:rPr>
        <w:t xml:space="preserve"> SSB beam is related to the parent IAB node link and another</w:t>
      </w:r>
      <w:r w:rsidR="00B8009A">
        <w:rPr>
          <w:lang w:val="en-GB"/>
        </w:rPr>
        <w:t xml:space="preserve"> (blue)</w:t>
      </w:r>
      <w:r w:rsidR="00960C6A" w:rsidRPr="00FF1CF5">
        <w:rPr>
          <w:lang w:val="en-GB"/>
        </w:rPr>
        <w:t xml:space="preserve"> SSB beam is related to a child IAB node link</w:t>
      </w:r>
      <w:r w:rsidRPr="00FF1CF5">
        <w:rPr>
          <w:lang w:val="en-GB"/>
        </w:rPr>
        <w:t>.</w:t>
      </w:r>
      <w:r w:rsidR="003977C8" w:rsidRPr="00FF1CF5">
        <w:rPr>
          <w:lang w:val="en-GB"/>
        </w:rPr>
        <w:t xml:space="preserve"> Two </w:t>
      </w:r>
      <w:r w:rsidR="00B8009A">
        <w:rPr>
          <w:lang w:val="en-GB"/>
        </w:rPr>
        <w:t xml:space="preserve">(orange) </w:t>
      </w:r>
      <w:r w:rsidR="003977C8" w:rsidRPr="00FF1CF5">
        <w:rPr>
          <w:lang w:val="en-GB"/>
        </w:rPr>
        <w:t xml:space="preserve">interfering beams are further restricted from use in simultaneous operation whereas the </w:t>
      </w:r>
      <w:r w:rsidR="00B8009A">
        <w:rPr>
          <w:lang w:val="en-GB"/>
        </w:rPr>
        <w:t xml:space="preserve">(green) </w:t>
      </w:r>
      <w:r w:rsidR="003977C8" w:rsidRPr="00FF1CF5">
        <w:rPr>
          <w:lang w:val="en-GB"/>
        </w:rPr>
        <w:t>remaining beams</w:t>
      </w:r>
      <w:r w:rsidR="00B8009A">
        <w:rPr>
          <w:lang w:val="en-GB"/>
        </w:rPr>
        <w:t>,</w:t>
      </w:r>
      <w:r w:rsidR="003977C8" w:rsidRPr="00FF1CF5">
        <w:rPr>
          <w:lang w:val="en-GB"/>
        </w:rPr>
        <w:t xml:space="preserve"> </w:t>
      </w:r>
      <w:r w:rsidR="000E1C06" w:rsidRPr="00FF1CF5">
        <w:rPr>
          <w:lang w:val="en-GB"/>
        </w:rPr>
        <w:t xml:space="preserve">including the </w:t>
      </w:r>
      <w:r w:rsidR="00B8009A">
        <w:rPr>
          <w:lang w:val="en-GB"/>
        </w:rPr>
        <w:t xml:space="preserve">(blue) </w:t>
      </w:r>
      <w:r w:rsidR="000E1C06" w:rsidRPr="00FF1CF5">
        <w:rPr>
          <w:lang w:val="en-GB"/>
        </w:rPr>
        <w:t xml:space="preserve">child link </w:t>
      </w:r>
      <w:r w:rsidR="003977C8" w:rsidRPr="00FF1CF5">
        <w:rPr>
          <w:lang w:val="en-GB"/>
        </w:rPr>
        <w:t>are available.</w:t>
      </w:r>
      <w:r w:rsidR="0012492D" w:rsidRPr="00FF1CF5">
        <w:rPr>
          <w:lang w:val="en-GB"/>
        </w:rPr>
        <w:t xml:space="preserve"> On the right side, the corresponding RSRP or RSRQ response</w:t>
      </w:r>
      <w:r w:rsidR="005F6B19">
        <w:rPr>
          <w:lang w:val="en-GB"/>
        </w:rPr>
        <w:t xml:space="preserve"> at the parent node, using its serving node towards the IAB node</w:t>
      </w:r>
      <w:r w:rsidR="0012492D" w:rsidRPr="00FF1CF5">
        <w:rPr>
          <w:lang w:val="en-GB"/>
        </w:rPr>
        <w:t>.</w:t>
      </w:r>
    </w:p>
    <w:p w14:paraId="34F9962A" w14:textId="441881B7" w:rsidR="00F42795" w:rsidRPr="00E25D4B" w:rsidRDefault="00F42795" w:rsidP="00FE7DD3">
      <w:pPr>
        <w:jc w:val="both"/>
        <w:rPr>
          <w:rStyle w:val="IvDbodytextChar"/>
          <w:b/>
          <w:sz w:val="20"/>
          <w:lang w:val="en-GB" w:eastAsia="en-GB"/>
        </w:rPr>
      </w:pPr>
      <w:r w:rsidRPr="00E25D4B">
        <w:rPr>
          <w:rStyle w:val="IvDbodytextChar"/>
          <w:iCs/>
          <w:sz w:val="20"/>
          <w:lang w:val="en-GB"/>
        </w:rPr>
        <w:t>For operation in SDM Case B, simultaneous reception, the same set of restricted beams may be used, provided reciprocity applies between transmit and receive beams, or the IAB node can independently determine the set of restricted beams</w:t>
      </w:r>
    </w:p>
    <w:p w14:paraId="389B9FB1" w14:textId="746EB6B3" w:rsidR="00E24135" w:rsidRPr="00E25D4B" w:rsidRDefault="00E24135" w:rsidP="006740AE">
      <w:pPr>
        <w:pStyle w:val="BodyText"/>
        <w:jc w:val="both"/>
        <w:rPr>
          <w:rStyle w:val="IvDbodytextChar"/>
          <w:iCs/>
          <w:sz w:val="20"/>
          <w:lang w:val="en-GB"/>
        </w:rPr>
      </w:pPr>
      <w:r w:rsidRPr="00E25D4B">
        <w:rPr>
          <w:rStyle w:val="IvDbodytextChar"/>
          <w:iCs/>
          <w:sz w:val="20"/>
          <w:lang w:val="en-GB"/>
        </w:rPr>
        <w:t xml:space="preserve">We think that using the </w:t>
      </w:r>
      <w:r w:rsidR="00922D78" w:rsidRPr="00E25D4B">
        <w:rPr>
          <w:rStyle w:val="IvDbodytextChar"/>
          <w:iCs/>
          <w:sz w:val="20"/>
          <w:lang w:val="en-GB"/>
        </w:rPr>
        <w:t>IAB-</w:t>
      </w:r>
      <w:r w:rsidR="00724505">
        <w:rPr>
          <w:rStyle w:val="IvDbodytextChar"/>
          <w:sz w:val="20"/>
          <w:lang w:val="en-GB"/>
        </w:rPr>
        <w:t xml:space="preserve">specific </w:t>
      </w:r>
      <w:r w:rsidRPr="00E25D4B">
        <w:rPr>
          <w:rStyle w:val="IvDbodytextChar"/>
          <w:iCs/>
          <w:sz w:val="20"/>
          <w:lang w:val="en-GB"/>
        </w:rPr>
        <w:t xml:space="preserve">SSB is the natural choice for determining restricted beams since it </w:t>
      </w:r>
      <w:r w:rsidRPr="00FE7DD3">
        <w:rPr>
          <w:rStyle w:val="IvDbodytextChar"/>
          <w:sz w:val="20"/>
          <w:lang w:val="en-GB"/>
        </w:rPr>
        <w:t xml:space="preserve">is </w:t>
      </w:r>
      <w:r w:rsidR="008F55B4" w:rsidRPr="00FE7DD3">
        <w:rPr>
          <w:rStyle w:val="IvDbodytextChar"/>
          <w:sz w:val="20"/>
          <w:lang w:val="en-GB"/>
        </w:rPr>
        <w:t xml:space="preserve">designed and developed for inter-IAB node discovery and measurement and SSB </w:t>
      </w:r>
      <w:r w:rsidRPr="00E25D4B">
        <w:rPr>
          <w:rStyle w:val="IvDbodytextChar"/>
          <w:sz w:val="20"/>
          <w:lang w:val="en-GB"/>
        </w:rPr>
        <w:t xml:space="preserve">is </w:t>
      </w:r>
      <w:r w:rsidRPr="00E25D4B">
        <w:rPr>
          <w:rStyle w:val="IvDbodytextChar"/>
          <w:iCs/>
          <w:sz w:val="20"/>
          <w:lang w:val="en-GB"/>
        </w:rPr>
        <w:t xml:space="preserve">the </w:t>
      </w:r>
      <w:r w:rsidR="003D74BD" w:rsidRPr="00E25D4B">
        <w:rPr>
          <w:rStyle w:val="IvDbodytextChar"/>
          <w:iCs/>
          <w:sz w:val="20"/>
          <w:lang w:val="en-GB"/>
        </w:rPr>
        <w:t>signal that defines the coverage of a cell</w:t>
      </w:r>
      <w:r w:rsidRPr="00E25D4B">
        <w:rPr>
          <w:rStyle w:val="IvDbodytextChar"/>
          <w:iCs/>
          <w:sz w:val="20"/>
          <w:lang w:val="en-GB"/>
        </w:rPr>
        <w:t xml:space="preserve">. Furthermore, </w:t>
      </w:r>
      <w:r w:rsidR="00D9113E" w:rsidRPr="00E25D4B">
        <w:rPr>
          <w:rStyle w:val="IvDbodytextChar"/>
          <w:iCs/>
          <w:sz w:val="20"/>
          <w:lang w:val="en-GB"/>
        </w:rPr>
        <w:t xml:space="preserve">specific </w:t>
      </w:r>
      <w:r w:rsidRPr="00E25D4B">
        <w:rPr>
          <w:rStyle w:val="IvDbodytextChar"/>
          <w:iCs/>
          <w:sz w:val="20"/>
          <w:lang w:val="en-GB"/>
        </w:rPr>
        <w:t xml:space="preserve">CSI-RS beams, carrying </w:t>
      </w:r>
      <w:r w:rsidR="00D9113E" w:rsidRPr="00E25D4B">
        <w:rPr>
          <w:rStyle w:val="IvDbodytextChar"/>
          <w:iCs/>
          <w:sz w:val="20"/>
          <w:lang w:val="en-GB"/>
        </w:rPr>
        <w:t xml:space="preserve">PDSCH, or SRS beams, carrying PUSCH may both be mapped to a specific SSB, allowing the set </w:t>
      </w:r>
      <w:r w:rsidR="00724505">
        <w:rPr>
          <w:rStyle w:val="IvDbodytextChar"/>
          <w:sz w:val="20"/>
          <w:lang w:val="en-GB"/>
        </w:rPr>
        <w:t xml:space="preserve">to </w:t>
      </w:r>
      <w:r w:rsidR="00D9113E" w:rsidRPr="00E25D4B">
        <w:rPr>
          <w:rStyle w:val="IvDbodytextChar"/>
          <w:iCs/>
          <w:sz w:val="20"/>
          <w:lang w:val="en-GB"/>
        </w:rPr>
        <w:t xml:space="preserve">be </w:t>
      </w:r>
      <w:r w:rsidR="00114363" w:rsidRPr="00E25D4B">
        <w:rPr>
          <w:rStyle w:val="IvDbodytextChar"/>
          <w:iCs/>
          <w:sz w:val="20"/>
          <w:lang w:val="en-GB"/>
        </w:rPr>
        <w:t>relevant</w:t>
      </w:r>
      <w:r w:rsidR="00D9113E" w:rsidRPr="00E25D4B">
        <w:rPr>
          <w:rStyle w:val="IvDbodytextChar"/>
          <w:iCs/>
          <w:sz w:val="20"/>
          <w:lang w:val="en-GB"/>
        </w:rPr>
        <w:t xml:space="preserve"> also for these </w:t>
      </w:r>
      <w:r w:rsidR="00FD390D" w:rsidRPr="00E25D4B">
        <w:rPr>
          <w:rStyle w:val="IvDbodytextChar"/>
          <w:iCs/>
          <w:sz w:val="20"/>
          <w:lang w:val="en-GB"/>
        </w:rPr>
        <w:t>beams.</w:t>
      </w:r>
    </w:p>
    <w:p w14:paraId="297DB687" w14:textId="61427F5B" w:rsidR="00001F6A" w:rsidRPr="00E25D4B" w:rsidRDefault="00724505" w:rsidP="007300CA">
      <w:pPr>
        <w:pStyle w:val="Observation"/>
      </w:pPr>
      <w:bookmarkStart w:id="60" w:name="_Toc71663383"/>
      <w:r>
        <w:t xml:space="preserve">The </w:t>
      </w:r>
      <w:r w:rsidR="00001F6A" w:rsidRPr="00E25D4B">
        <w:t>IAB</w:t>
      </w:r>
      <w:r w:rsidR="00B41E40">
        <w:t>-</w:t>
      </w:r>
      <w:r>
        <w:t xml:space="preserve">specific </w:t>
      </w:r>
      <w:r w:rsidR="00001F6A" w:rsidRPr="00E25D4B">
        <w:t xml:space="preserve">SSB is </w:t>
      </w:r>
      <w:r w:rsidR="00B41E40" w:rsidRPr="00BD0C00">
        <w:rPr>
          <w:rStyle w:val="IvDbodytextChar"/>
          <w:sz w:val="20"/>
        </w:rPr>
        <w:t>designed and developed for inter-IAB node discovery and measurement</w:t>
      </w:r>
      <w:r w:rsidR="00B41E40">
        <w:rPr>
          <w:rStyle w:val="IvDbodytextChar"/>
          <w:sz w:val="20"/>
        </w:rPr>
        <w:t>,</w:t>
      </w:r>
      <w:r w:rsidR="00001F6A" w:rsidRPr="00E25D4B">
        <w:t xml:space="preserve"> making it suitable for determination of restricted beams in SDM with little or no overhead.</w:t>
      </w:r>
      <w:bookmarkEnd w:id="60"/>
    </w:p>
    <w:p w14:paraId="09B2E299" w14:textId="224EAC9B" w:rsidR="001776D2" w:rsidRPr="00BD0C00" w:rsidRDefault="001776D2" w:rsidP="006740AE">
      <w:pPr>
        <w:pStyle w:val="BodyText"/>
        <w:jc w:val="both"/>
        <w:rPr>
          <w:rStyle w:val="IvDbodytextChar"/>
          <w:rFonts w:asciiTheme="minorHAnsi" w:eastAsiaTheme="minorHAnsi" w:hAnsiTheme="minorHAnsi" w:cstheme="minorBidi"/>
          <w:spacing w:val="0"/>
          <w:lang w:val="en-GB" w:eastAsia="en-GB"/>
        </w:rPr>
      </w:pPr>
      <w:r w:rsidRPr="00E25D4B">
        <w:rPr>
          <w:rStyle w:val="IvDbodytextChar"/>
          <w:iCs/>
          <w:sz w:val="20"/>
          <w:lang w:val="en-GB"/>
        </w:rPr>
        <w:t xml:space="preserve">Using Soft resources for SDM would make Soft resources the natural configuration for most resource due to the resulting performance increase. However, Hard and Not Available resources would still be necessary for the IAB-DU and the parent IAB-DU, respectively, for accessing child IAB nodes or UEs that are accessed by beams that may cause interference in the communication between the IAB-MT and the parent IAB-DU. Hence, management of non-orthogonal resources will not require any additional specification work. Furthermore, explicit indication of Soft resources, </w:t>
      </w:r>
      <w:r w:rsidR="00470B44" w:rsidRPr="00E25D4B">
        <w:rPr>
          <w:rStyle w:val="IvDbodytextChar"/>
          <w:iCs/>
          <w:sz w:val="20"/>
          <w:lang w:val="en-GB"/>
        </w:rPr>
        <w:t>analogue</w:t>
      </w:r>
      <w:r w:rsidRPr="00E25D4B">
        <w:rPr>
          <w:rStyle w:val="IvDbodytextChar"/>
          <w:iCs/>
          <w:sz w:val="20"/>
          <w:lang w:val="en-GB"/>
        </w:rPr>
        <w:t xml:space="preserve"> to Rel-16 specification, would allow the IAB-DU unrestricted use of its resources, i.e., would allow IAB-DU access also on restricted beams.</w:t>
      </w:r>
    </w:p>
    <w:p w14:paraId="2EABBC8F" w14:textId="77777777" w:rsidR="001776D2" w:rsidRPr="00E25D4B" w:rsidRDefault="001776D2" w:rsidP="007300CA">
      <w:pPr>
        <w:pStyle w:val="Observation"/>
      </w:pPr>
      <w:bookmarkStart w:id="61" w:name="_Toc71663384"/>
      <w:r w:rsidRPr="00E25D4B">
        <w:t>Enabling SDM simultaneous operation in implicitly indicated Soft resources would make Soft a natural default resource configuration.</w:t>
      </w:r>
      <w:bookmarkEnd w:id="61"/>
    </w:p>
    <w:p w14:paraId="0D6D7D8A" w14:textId="1EED982D" w:rsidR="001776D2" w:rsidRPr="00E25D4B" w:rsidRDefault="001776D2" w:rsidP="007300CA">
      <w:pPr>
        <w:pStyle w:val="Observation"/>
        <w:rPr>
          <w:rStyle w:val="IvDbodytextChar"/>
          <w:sz w:val="20"/>
          <w:szCs w:val="20"/>
        </w:rPr>
      </w:pPr>
      <w:bookmarkStart w:id="62" w:name="_Toc71663385"/>
      <w:r w:rsidRPr="0C69C0AA">
        <w:rPr>
          <w:rStyle w:val="IvDbodytextChar"/>
          <w:sz w:val="20"/>
          <w:szCs w:val="20"/>
        </w:rPr>
        <w:t xml:space="preserve">In SDM simultaneous operation, beams, serving child IAB nodes or UEs, that are </w:t>
      </w:r>
      <w:r w:rsidR="00B223EC" w:rsidRPr="0C69C0AA">
        <w:rPr>
          <w:rStyle w:val="IvDbodytextChar"/>
          <w:sz w:val="20"/>
          <w:szCs w:val="20"/>
        </w:rPr>
        <w:t>interfering with</w:t>
      </w:r>
      <w:r w:rsidRPr="0C69C0AA">
        <w:rPr>
          <w:rStyle w:val="IvDbodytextChar"/>
          <w:sz w:val="20"/>
          <w:szCs w:val="20"/>
        </w:rPr>
        <w:t xml:space="preserve"> the beam serving the parent IAB node may be scheduled in Hard resources.</w:t>
      </w:r>
      <w:bookmarkEnd w:id="62"/>
    </w:p>
    <w:p w14:paraId="65A7A224" w14:textId="4EA11362" w:rsidR="00AB2106" w:rsidRPr="00E25D4B" w:rsidRDefault="00AB2106" w:rsidP="007300CA">
      <w:pPr>
        <w:pStyle w:val="Proposal"/>
      </w:pPr>
      <w:bookmarkStart w:id="63" w:name="_Toc71663399"/>
      <w:r>
        <w:rPr>
          <w:rStyle w:val="IvDbodytextChar"/>
          <w:sz w:val="20"/>
        </w:rPr>
        <w:t>Explicit a</w:t>
      </w:r>
      <w:r w:rsidRPr="00E25D4B">
        <w:rPr>
          <w:rStyle w:val="IvDbodytextChar"/>
          <w:sz w:val="20"/>
        </w:rPr>
        <w:t>vailability indication override</w:t>
      </w:r>
      <w:r>
        <w:rPr>
          <w:rStyle w:val="IvDbodytextChar"/>
          <w:sz w:val="20"/>
        </w:rPr>
        <w:t xml:space="preserve">s </w:t>
      </w:r>
      <w:r w:rsidRPr="00E25D4B">
        <w:rPr>
          <w:rStyle w:val="IvDbodytextChar"/>
          <w:iCs/>
          <w:sz w:val="20"/>
        </w:rPr>
        <w:t>SDM</w:t>
      </w:r>
      <w:r w:rsidRPr="00E25D4B">
        <w:rPr>
          <w:rStyle w:val="IvDbodytextChar"/>
          <w:sz w:val="20"/>
        </w:rPr>
        <w:t xml:space="preserve"> beam restrictions</w:t>
      </w:r>
      <w:r>
        <w:rPr>
          <w:rStyle w:val="IvDbodytextChar"/>
          <w:sz w:val="20"/>
        </w:rPr>
        <w:t xml:space="preserve"> in Soft resources.</w:t>
      </w:r>
      <w:bookmarkEnd w:id="63"/>
    </w:p>
    <w:p w14:paraId="0AC11AA8" w14:textId="5313EDF8" w:rsidR="002000CD" w:rsidRPr="00C75E69" w:rsidRDefault="00E62A03" w:rsidP="00872BF6">
      <w:pPr>
        <w:pStyle w:val="Heading2"/>
        <w:jc w:val="both"/>
      </w:pPr>
      <w:bookmarkStart w:id="64" w:name="_Ref67427596"/>
      <w:r w:rsidRPr="00C75E69">
        <w:lastRenderedPageBreak/>
        <w:t xml:space="preserve">Capability </w:t>
      </w:r>
      <w:r w:rsidR="00032CA1" w:rsidRPr="00C75E69">
        <w:t>signalling</w:t>
      </w:r>
      <w:bookmarkEnd w:id="64"/>
    </w:p>
    <w:p w14:paraId="03D1EA5A" w14:textId="62975959" w:rsidR="00F74F17" w:rsidRPr="00877A84" w:rsidRDefault="00054527" w:rsidP="00872BF6">
      <w:pPr>
        <w:jc w:val="both"/>
        <w:rPr>
          <w:rFonts w:ascii="Arial" w:hAnsi="Arial" w:cs="Arial"/>
          <w:sz w:val="20"/>
          <w:szCs w:val="20"/>
          <w:lang w:val="en-GB"/>
        </w:rPr>
      </w:pPr>
      <w:r w:rsidRPr="00877A84">
        <w:rPr>
          <w:rFonts w:ascii="Arial" w:hAnsi="Arial" w:cs="Arial"/>
          <w:sz w:val="20"/>
          <w:szCs w:val="20"/>
          <w:lang w:val="en-GB"/>
        </w:rPr>
        <w:t>In RAN1#104</w:t>
      </w:r>
      <w:r w:rsidR="00611F0B">
        <w:rPr>
          <w:rFonts w:ascii="Arial" w:hAnsi="Arial" w:cs="Arial"/>
          <w:sz w:val="20"/>
          <w:szCs w:val="20"/>
          <w:lang w:val="en-GB"/>
        </w:rPr>
        <w:t>bis</w:t>
      </w:r>
      <w:r w:rsidR="00D108B4">
        <w:rPr>
          <w:rFonts w:ascii="Arial" w:hAnsi="Arial" w:cs="Arial"/>
          <w:sz w:val="20"/>
          <w:szCs w:val="20"/>
          <w:lang w:val="en-GB"/>
        </w:rPr>
        <w:t>-</w:t>
      </w:r>
      <w:r w:rsidR="00502AC1">
        <w:rPr>
          <w:rFonts w:ascii="Arial" w:hAnsi="Arial" w:cs="Arial"/>
          <w:sz w:val="20"/>
          <w:szCs w:val="20"/>
          <w:lang w:val="en-GB"/>
        </w:rPr>
        <w:t>e</w:t>
      </w:r>
      <w:r w:rsidRPr="00877A84">
        <w:rPr>
          <w:rFonts w:ascii="Arial" w:hAnsi="Arial" w:cs="Arial"/>
          <w:sz w:val="20"/>
          <w:szCs w:val="20"/>
          <w:lang w:val="en-GB"/>
        </w:rPr>
        <w:t xml:space="preserve">, the following objectives of multiplexing capability signalling were </w:t>
      </w:r>
      <w:r w:rsidR="00F74F17" w:rsidRPr="00877A84">
        <w:rPr>
          <w:rFonts w:ascii="Arial" w:hAnsi="Arial" w:cs="Arial"/>
          <w:sz w:val="20"/>
          <w:szCs w:val="20"/>
          <w:lang w:val="en-GB"/>
        </w:rPr>
        <w:t>agreed</w:t>
      </w:r>
      <w:r w:rsidR="0088745A" w:rsidRPr="0088745A">
        <w:rPr>
          <w:rFonts w:ascii="Arial" w:hAnsi="Arial" w:cs="Arial"/>
          <w:sz w:val="20"/>
          <w:szCs w:val="20"/>
          <w:lang w:val="en-GB"/>
        </w:rPr>
        <w:t xml:space="preserve"> </w:t>
      </w:r>
      <w:r w:rsidR="0088745A">
        <w:rPr>
          <w:rFonts w:ascii="Arial" w:hAnsi="Arial" w:cs="Arial"/>
          <w:sz w:val="20"/>
          <w:szCs w:val="20"/>
          <w:lang w:val="en-GB"/>
        </w:rPr>
        <w:fldChar w:fldCharType="begin"/>
      </w:r>
      <w:r w:rsidR="0088745A">
        <w:rPr>
          <w:rFonts w:ascii="Arial" w:hAnsi="Arial" w:cs="Arial"/>
          <w:sz w:val="20"/>
          <w:szCs w:val="20"/>
          <w:lang w:val="en-GB"/>
        </w:rPr>
        <w:instrText xml:space="preserve"> REF _Ref70195782 \r \h </w:instrText>
      </w:r>
      <w:r w:rsidR="006740AE">
        <w:rPr>
          <w:rFonts w:ascii="Arial" w:hAnsi="Arial" w:cs="Arial"/>
          <w:sz w:val="20"/>
          <w:szCs w:val="20"/>
          <w:lang w:val="en-GB"/>
        </w:rPr>
        <w:instrText xml:space="preserve"> \* MERGEFORMAT </w:instrText>
      </w:r>
      <w:r w:rsidR="0088745A">
        <w:rPr>
          <w:rFonts w:ascii="Arial" w:hAnsi="Arial" w:cs="Arial"/>
          <w:sz w:val="20"/>
          <w:szCs w:val="20"/>
          <w:lang w:val="en-GB"/>
        </w:rPr>
      </w:r>
      <w:r w:rsidR="0088745A">
        <w:rPr>
          <w:rFonts w:ascii="Arial" w:hAnsi="Arial" w:cs="Arial"/>
          <w:sz w:val="20"/>
          <w:szCs w:val="20"/>
          <w:lang w:val="en-GB"/>
        </w:rPr>
        <w:fldChar w:fldCharType="separate"/>
      </w:r>
      <w:r w:rsidR="00301FA3">
        <w:rPr>
          <w:rFonts w:ascii="Arial" w:hAnsi="Arial" w:cs="Arial"/>
          <w:sz w:val="20"/>
          <w:szCs w:val="20"/>
          <w:lang w:val="en-GB"/>
        </w:rPr>
        <w:t>[4]</w:t>
      </w:r>
      <w:r w:rsidR="0088745A">
        <w:rPr>
          <w:rFonts w:ascii="Arial" w:hAnsi="Arial" w:cs="Arial"/>
          <w:sz w:val="20"/>
          <w:szCs w:val="20"/>
          <w:lang w:val="en-GB"/>
        </w:rPr>
        <w:fldChar w:fldCharType="end"/>
      </w:r>
      <w:r w:rsidR="00F74F17" w:rsidRPr="00877A84">
        <w:rPr>
          <w:rFonts w:ascii="Arial" w:hAnsi="Arial" w:cs="Arial"/>
          <w:sz w:val="20"/>
          <w:szCs w:val="20"/>
          <w:lang w:val="en-GB"/>
        </w:rPr>
        <w:t>:</w:t>
      </w:r>
    </w:p>
    <w:tbl>
      <w:tblPr>
        <w:tblStyle w:val="TableGrid"/>
        <w:tblW w:w="0" w:type="auto"/>
        <w:tblLook w:val="04A0" w:firstRow="1" w:lastRow="0" w:firstColumn="1" w:lastColumn="0" w:noHBand="0" w:noVBand="1"/>
      </w:tblPr>
      <w:tblGrid>
        <w:gridCol w:w="9629"/>
      </w:tblGrid>
      <w:tr w:rsidR="00F74F17" w:rsidRPr="004A67F8" w14:paraId="0A278495" w14:textId="77777777" w:rsidTr="00EE6BB3">
        <w:tc>
          <w:tcPr>
            <w:tcW w:w="9629" w:type="dxa"/>
          </w:tcPr>
          <w:p w14:paraId="366F167C" w14:textId="77777777" w:rsidR="002257D9" w:rsidRPr="00D82642" w:rsidRDefault="002257D9" w:rsidP="002257D9">
            <w:pPr>
              <w:pStyle w:val="BodyText"/>
              <w:jc w:val="both"/>
              <w:rPr>
                <w:rFonts w:ascii="Arial" w:hAnsi="Arial" w:cs="Arial"/>
                <w:b/>
                <w:bCs/>
                <w:sz w:val="20"/>
                <w:szCs w:val="20"/>
                <w:lang w:val="en-GB"/>
              </w:rPr>
            </w:pPr>
            <w:r w:rsidRPr="00D82642">
              <w:rPr>
                <w:rFonts w:ascii="Arial" w:hAnsi="Arial" w:cs="Arial"/>
                <w:b/>
                <w:bCs/>
                <w:sz w:val="20"/>
                <w:szCs w:val="20"/>
                <w:highlight w:val="green"/>
                <w:lang w:val="en-GB"/>
              </w:rPr>
              <w:t>Agreement</w:t>
            </w:r>
          </w:p>
          <w:p w14:paraId="5EBE6E62" w14:textId="77777777" w:rsidR="002257D9" w:rsidRPr="002257D9" w:rsidRDefault="002257D9" w:rsidP="002257D9">
            <w:pPr>
              <w:pStyle w:val="BodyText"/>
              <w:jc w:val="both"/>
              <w:rPr>
                <w:rFonts w:ascii="Arial" w:hAnsi="Arial" w:cs="Arial"/>
                <w:sz w:val="20"/>
                <w:szCs w:val="20"/>
                <w:lang w:val="en-GB"/>
              </w:rPr>
            </w:pPr>
            <w:r w:rsidRPr="002257D9">
              <w:rPr>
                <w:rFonts w:ascii="Arial" w:hAnsi="Arial" w:cs="Arial"/>
                <w:sz w:val="20"/>
                <w:szCs w:val="20"/>
                <w:lang w:val="en-GB"/>
              </w:rPr>
              <w:t>Adaptation of an IAB-node’s multiplexing operation is supported. The adaptation may be based on multiple factors, for example (not necessary to support all of the following):</w:t>
            </w:r>
          </w:p>
          <w:p w14:paraId="4A9D8F8D" w14:textId="77777777" w:rsidR="002257D9" w:rsidRPr="002257D9" w:rsidRDefault="002257D9" w:rsidP="00E9707C">
            <w:pPr>
              <w:pStyle w:val="BodyText"/>
              <w:numPr>
                <w:ilvl w:val="0"/>
                <w:numId w:val="26"/>
              </w:numPr>
              <w:jc w:val="both"/>
              <w:rPr>
                <w:rFonts w:ascii="Arial" w:hAnsi="Arial" w:cs="Arial"/>
                <w:sz w:val="20"/>
                <w:szCs w:val="20"/>
                <w:lang w:val="en-GB"/>
              </w:rPr>
            </w:pPr>
            <w:r w:rsidRPr="002257D9">
              <w:rPr>
                <w:rFonts w:ascii="Arial" w:hAnsi="Arial" w:cs="Arial"/>
                <w:sz w:val="20"/>
                <w:szCs w:val="20"/>
                <w:lang w:val="en-GB"/>
              </w:rPr>
              <w:t xml:space="preserve">Resource type (D/U/F) at the IAB-DU and IAB-MT </w:t>
            </w:r>
          </w:p>
          <w:p w14:paraId="1998E7EC" w14:textId="77777777" w:rsidR="002257D9" w:rsidRPr="002257D9" w:rsidRDefault="002257D9" w:rsidP="00E9707C">
            <w:pPr>
              <w:pStyle w:val="BodyText"/>
              <w:numPr>
                <w:ilvl w:val="0"/>
                <w:numId w:val="26"/>
              </w:numPr>
              <w:jc w:val="both"/>
              <w:rPr>
                <w:rFonts w:ascii="Arial" w:hAnsi="Arial" w:cs="Arial"/>
                <w:sz w:val="20"/>
                <w:szCs w:val="20"/>
                <w:lang w:val="en-GB"/>
              </w:rPr>
            </w:pPr>
            <w:r w:rsidRPr="002257D9">
              <w:rPr>
                <w:rFonts w:ascii="Arial" w:hAnsi="Arial" w:cs="Arial"/>
                <w:sz w:val="20"/>
                <w:szCs w:val="20"/>
                <w:lang w:val="en-GB"/>
              </w:rPr>
              <w:t>Specific sets of time/frequency resources</w:t>
            </w:r>
          </w:p>
          <w:p w14:paraId="1A05F817" w14:textId="77777777" w:rsidR="002257D9" w:rsidRPr="002257D9" w:rsidRDefault="002257D9" w:rsidP="00E9707C">
            <w:pPr>
              <w:pStyle w:val="BodyText"/>
              <w:numPr>
                <w:ilvl w:val="0"/>
                <w:numId w:val="26"/>
              </w:numPr>
              <w:jc w:val="both"/>
              <w:rPr>
                <w:rFonts w:ascii="Arial" w:hAnsi="Arial" w:cs="Arial"/>
                <w:sz w:val="20"/>
                <w:szCs w:val="20"/>
                <w:lang w:val="en-GB"/>
              </w:rPr>
            </w:pPr>
            <w:r w:rsidRPr="002257D9">
              <w:rPr>
                <w:rFonts w:ascii="Arial" w:hAnsi="Arial" w:cs="Arial"/>
                <w:sz w:val="20"/>
                <w:szCs w:val="20"/>
                <w:lang w:val="en-GB"/>
              </w:rPr>
              <w:t>Certain conditions being met (e.g. supported timing modes, power control enhancements (if supported), etc.)</w:t>
            </w:r>
          </w:p>
          <w:p w14:paraId="720B5C66" w14:textId="77777777" w:rsidR="002257D9" w:rsidRPr="002257D9" w:rsidRDefault="002257D9" w:rsidP="002257D9">
            <w:pPr>
              <w:pStyle w:val="BodyText"/>
              <w:jc w:val="both"/>
              <w:rPr>
                <w:rFonts w:ascii="Arial" w:hAnsi="Arial" w:cs="Arial"/>
                <w:sz w:val="20"/>
                <w:szCs w:val="20"/>
                <w:lang w:val="en-GB"/>
              </w:rPr>
            </w:pPr>
            <w:r w:rsidRPr="002257D9">
              <w:rPr>
                <w:rFonts w:ascii="Arial" w:hAnsi="Arial" w:cs="Arial"/>
                <w:sz w:val="20"/>
                <w:szCs w:val="20"/>
                <w:lang w:val="en-GB"/>
              </w:rPr>
              <w:t>FFS:  Mechanisms for informing/coordination the change in multiplexing operation(s) between child and parent nodes (including whether the adaptation is dynamic or semi-static)</w:t>
            </w:r>
          </w:p>
          <w:p w14:paraId="09868EF8" w14:textId="57E58563" w:rsidR="00F74F17" w:rsidRPr="00C75E69" w:rsidRDefault="002257D9" w:rsidP="00D02E95">
            <w:pPr>
              <w:pStyle w:val="BodyText"/>
              <w:jc w:val="both"/>
              <w:rPr>
                <w:rFonts w:ascii="Arial" w:hAnsi="Arial" w:cs="Arial"/>
                <w:sz w:val="20"/>
                <w:szCs w:val="20"/>
                <w:lang w:val="en-GB"/>
              </w:rPr>
            </w:pPr>
            <w:r w:rsidRPr="002257D9">
              <w:rPr>
                <w:rFonts w:ascii="Arial" w:hAnsi="Arial" w:cs="Arial"/>
                <w:sz w:val="20"/>
                <w:szCs w:val="20"/>
                <w:lang w:val="en-GB"/>
              </w:rPr>
              <w:t>FFS: Need for explicit linkage between indicated multiplexing operations and other features/enhancements – e.g. number of required guard symbols, supported timing modes, and power control enhancements (if supported)</w:t>
            </w:r>
          </w:p>
        </w:tc>
      </w:tr>
    </w:tbl>
    <w:p w14:paraId="10D00678" w14:textId="6981C22A" w:rsidR="002000CD" w:rsidRPr="00877A84" w:rsidRDefault="00F74F17" w:rsidP="00B17975">
      <w:pPr>
        <w:pStyle w:val="BodyText"/>
        <w:spacing w:before="240"/>
        <w:jc w:val="both"/>
        <w:rPr>
          <w:rFonts w:ascii="Arial" w:hAnsi="Arial" w:cs="Arial"/>
          <w:sz w:val="20"/>
          <w:szCs w:val="20"/>
          <w:lang w:val="en-GB"/>
        </w:rPr>
      </w:pPr>
      <w:r w:rsidRPr="00E442A4">
        <w:rPr>
          <w:rFonts w:ascii="Arial" w:hAnsi="Arial" w:cs="Arial"/>
          <w:sz w:val="20"/>
          <w:szCs w:val="20"/>
          <w:lang w:val="en-GB"/>
        </w:rPr>
        <w:t>The semi-static configuration of H/S/NA</w:t>
      </w:r>
      <w:r w:rsidR="005F7C3F" w:rsidRPr="00E442A4">
        <w:rPr>
          <w:rFonts w:ascii="Arial" w:hAnsi="Arial" w:cs="Arial"/>
          <w:sz w:val="20"/>
          <w:szCs w:val="20"/>
          <w:lang w:val="en-GB"/>
        </w:rPr>
        <w:t xml:space="preserve"> in time domain and preferably in frequency domain</w:t>
      </w:r>
      <w:r w:rsidRPr="00E442A4">
        <w:rPr>
          <w:rFonts w:ascii="Arial" w:hAnsi="Arial" w:cs="Arial"/>
          <w:sz w:val="20"/>
          <w:szCs w:val="20"/>
          <w:lang w:val="en-GB"/>
        </w:rPr>
        <w:t xml:space="preserve"> is based on the multiplexing capability of the IAB-node. </w:t>
      </w:r>
      <w:r w:rsidRPr="00877A84">
        <w:rPr>
          <w:rFonts w:ascii="Arial" w:hAnsi="Arial" w:cs="Arial"/>
          <w:sz w:val="20"/>
          <w:szCs w:val="20"/>
          <w:lang w:val="en-GB"/>
        </w:rPr>
        <w:t xml:space="preserve">The parent node can also be provided with the multiplexing capability information, which has been indicated to the </w:t>
      </w:r>
      <w:r w:rsidR="00E6365D">
        <w:rPr>
          <w:rFonts w:ascii="Arial" w:hAnsi="Arial" w:cs="Arial"/>
          <w:sz w:val="20"/>
          <w:szCs w:val="20"/>
          <w:lang w:val="en-GB"/>
        </w:rPr>
        <w:t>IAB-</w:t>
      </w:r>
      <w:r w:rsidR="001F1FDB">
        <w:rPr>
          <w:rFonts w:ascii="Arial" w:hAnsi="Arial" w:cs="Arial"/>
          <w:sz w:val="20"/>
          <w:szCs w:val="20"/>
          <w:lang w:val="en-GB"/>
        </w:rPr>
        <w:t>donor-CU</w:t>
      </w:r>
      <w:r w:rsidRPr="00877A84">
        <w:rPr>
          <w:rFonts w:ascii="Arial" w:hAnsi="Arial" w:cs="Arial"/>
          <w:sz w:val="20"/>
          <w:szCs w:val="20"/>
          <w:lang w:val="en-GB"/>
        </w:rPr>
        <w:t>, so that the parent node can make a better estimation of the resource usage at the IAB-node and, accordingly, the resource availability on the IAB-node’s parent backhaul link. However, the multiplexing capability of the IAB-node may change due to local circumstances, such as channel changes, fulfilment of simultaneous operation criteria, etc., in a dynamic way. Losing track of such change may lead to inappropriate scheduling decision at the parent node, which will cause resource wastage or situations with additional interference for the IAB-node.</w:t>
      </w:r>
    </w:p>
    <w:p w14:paraId="015E23F9" w14:textId="114893DE" w:rsidR="00F74F17" w:rsidRPr="00877A84" w:rsidRDefault="00F74F17" w:rsidP="00872BF6">
      <w:pPr>
        <w:jc w:val="both"/>
        <w:rPr>
          <w:rFonts w:ascii="Arial" w:hAnsi="Arial" w:cs="Arial"/>
          <w:sz w:val="20"/>
          <w:szCs w:val="20"/>
          <w:lang w:val="en-GB"/>
        </w:rPr>
      </w:pPr>
      <w:r w:rsidRPr="00877A84">
        <w:rPr>
          <w:rFonts w:ascii="Arial" w:hAnsi="Arial" w:cs="Arial"/>
          <w:sz w:val="20"/>
          <w:szCs w:val="20"/>
          <w:lang w:val="en-GB"/>
        </w:rPr>
        <w:t xml:space="preserve">For example, based on given hardware capability and channel conditions, the IAB-MT and IAB-DU can conduct simultaneous transmission and/or reception. </w:t>
      </w:r>
      <w:r w:rsidRPr="00E442A4">
        <w:rPr>
          <w:rFonts w:ascii="Arial" w:hAnsi="Arial" w:cs="Arial"/>
          <w:sz w:val="20"/>
          <w:szCs w:val="20"/>
          <w:lang w:val="en-GB"/>
        </w:rPr>
        <w:t xml:space="preserve">The IAB-node thereby indicates </w:t>
      </w:r>
      <w:r w:rsidR="00E442A4">
        <w:rPr>
          <w:rFonts w:ascii="Arial" w:hAnsi="Arial" w:cs="Arial"/>
          <w:sz w:val="20"/>
          <w:szCs w:val="20"/>
          <w:lang w:val="en-GB"/>
        </w:rPr>
        <w:t>“</w:t>
      </w:r>
      <w:r w:rsidRPr="00E442A4">
        <w:rPr>
          <w:rFonts w:ascii="Arial" w:hAnsi="Arial" w:cs="Arial"/>
          <w:sz w:val="20"/>
          <w:szCs w:val="20"/>
          <w:lang w:val="en-GB"/>
        </w:rPr>
        <w:t>TDM not required</w:t>
      </w:r>
      <w:r w:rsidR="00E442A4">
        <w:rPr>
          <w:rFonts w:ascii="Arial" w:hAnsi="Arial" w:cs="Arial"/>
          <w:sz w:val="20"/>
          <w:szCs w:val="20"/>
          <w:lang w:val="en-GB"/>
        </w:rPr>
        <w:t>”</w:t>
      </w:r>
      <w:r w:rsidRPr="00E442A4">
        <w:rPr>
          <w:rFonts w:ascii="Arial" w:hAnsi="Arial" w:cs="Arial"/>
          <w:sz w:val="20"/>
          <w:szCs w:val="20"/>
          <w:lang w:val="en-GB"/>
        </w:rPr>
        <w:t xml:space="preserve"> to the </w:t>
      </w:r>
      <w:r w:rsidR="00E6365D">
        <w:rPr>
          <w:rFonts w:ascii="Arial" w:hAnsi="Arial" w:cs="Arial"/>
          <w:sz w:val="20"/>
          <w:szCs w:val="20"/>
          <w:lang w:val="en-GB"/>
        </w:rPr>
        <w:t>IAB-</w:t>
      </w:r>
      <w:r w:rsidR="001F1FDB">
        <w:rPr>
          <w:rFonts w:ascii="Arial" w:hAnsi="Arial" w:cs="Arial"/>
          <w:sz w:val="20"/>
          <w:szCs w:val="20"/>
          <w:lang w:val="en-GB"/>
        </w:rPr>
        <w:t>donor-CU</w:t>
      </w:r>
      <w:r w:rsidRPr="00E442A4">
        <w:rPr>
          <w:rFonts w:ascii="Arial" w:hAnsi="Arial" w:cs="Arial"/>
          <w:sz w:val="20"/>
          <w:szCs w:val="20"/>
          <w:lang w:val="en-GB"/>
        </w:rPr>
        <w:t xml:space="preserve">, which will configure IAB-MT and IAB-DU resources accordingly to allow for the desired simultaneous operation. </w:t>
      </w:r>
      <w:r w:rsidRPr="00877A84">
        <w:rPr>
          <w:rFonts w:ascii="Arial" w:hAnsi="Arial" w:cs="Arial"/>
          <w:sz w:val="20"/>
          <w:szCs w:val="20"/>
          <w:lang w:val="en-GB"/>
        </w:rPr>
        <w:t>However, the required Case #6 and Case #7 timing operation cannot always be fulfilled by the parent node(s) and/or child node(s) under certain circumstances. In this case, the IAB-MT and IAB-DU can be limited to operate in a TDM manner. Without knowing that, the parent node may still schedule transmission from/to the IAB-MT which cannot be carried out by the IAB-node due to the operation at the IAB-DU using overlapping time and/or frequency resource. Therefore, it is beneficial to inform the parent node about the multiplexing-capability changes at the IAB-node.</w:t>
      </w:r>
    </w:p>
    <w:p w14:paraId="2A129D4F" w14:textId="74A25F2A" w:rsidR="00F74F17" w:rsidRDefault="00F74F17" w:rsidP="007300CA">
      <w:pPr>
        <w:pStyle w:val="Proposal"/>
      </w:pPr>
      <w:bookmarkStart w:id="65" w:name="_Toc54382829"/>
      <w:bookmarkStart w:id="66" w:name="_Toc58832847"/>
      <w:bookmarkStart w:id="67" w:name="_Toc61903482"/>
      <w:bookmarkStart w:id="68" w:name="_Toc71663400"/>
      <w:r w:rsidRPr="00877A84">
        <w:t xml:space="preserve">The parent </w:t>
      </w:r>
      <w:r w:rsidR="00AD1B24">
        <w:t>IAB-</w:t>
      </w:r>
      <w:r w:rsidRPr="00877A84">
        <w:t>node is dynamically provided with changes of the IAB-node’s multiplexing-capability.</w:t>
      </w:r>
      <w:bookmarkEnd w:id="65"/>
      <w:bookmarkEnd w:id="66"/>
      <w:bookmarkEnd w:id="67"/>
      <w:bookmarkEnd w:id="68"/>
    </w:p>
    <w:p w14:paraId="09A01C6B" w14:textId="77777777" w:rsidR="00AD1B24" w:rsidRDefault="00AD1B24" w:rsidP="007300CA">
      <w:pPr>
        <w:pStyle w:val="Proposal"/>
      </w:pPr>
      <w:bookmarkStart w:id="69" w:name="_Toc71663401"/>
      <w:r>
        <w:t>Whether or not to switch to FDM/SDM should be based on the ACK/NACK response from the parent IAB-node.</w:t>
      </w:r>
      <w:bookmarkEnd w:id="69"/>
    </w:p>
    <w:p w14:paraId="2585D4F7" w14:textId="557F9FB1" w:rsidR="00AD1B24" w:rsidRPr="00877A84" w:rsidRDefault="00AD1B24" w:rsidP="007300CA">
      <w:pPr>
        <w:pStyle w:val="Proposal"/>
      </w:pPr>
      <w:bookmarkStart w:id="70" w:name="_Toc71663402"/>
      <w:r>
        <w:t>A Fallback to TDM does not need an ACK response from the parent IAB-node.</w:t>
      </w:r>
      <w:bookmarkEnd w:id="70"/>
    </w:p>
    <w:p w14:paraId="6808B1CE" w14:textId="3E4DDB73" w:rsidR="002000CD" w:rsidRPr="00C75E69" w:rsidRDefault="002000CD" w:rsidP="00872BF6">
      <w:pPr>
        <w:pStyle w:val="Heading2"/>
        <w:tabs>
          <w:tab w:val="num" w:pos="576"/>
        </w:tabs>
        <w:jc w:val="both"/>
      </w:pPr>
      <w:r w:rsidRPr="00C75E69">
        <w:t>Cell-specific signals at IAB-MT</w:t>
      </w:r>
    </w:p>
    <w:p w14:paraId="22485375" w14:textId="635D795C" w:rsidR="002000CD" w:rsidRPr="00877A84" w:rsidRDefault="00054527" w:rsidP="00872BF6">
      <w:pPr>
        <w:jc w:val="both"/>
        <w:rPr>
          <w:rFonts w:ascii="Arial" w:hAnsi="Arial" w:cs="Arial"/>
          <w:sz w:val="20"/>
          <w:szCs w:val="20"/>
          <w:lang w:val="en-GB"/>
        </w:rPr>
      </w:pPr>
      <w:r w:rsidRPr="00877A84">
        <w:rPr>
          <w:rFonts w:ascii="Arial" w:hAnsi="Arial" w:cs="Arial"/>
          <w:sz w:val="20"/>
          <w:szCs w:val="20"/>
          <w:lang w:val="en-GB"/>
        </w:rPr>
        <w:t xml:space="preserve">In </w:t>
      </w:r>
      <w:r w:rsidR="002000CD" w:rsidRPr="00877A84">
        <w:rPr>
          <w:rFonts w:ascii="Arial" w:hAnsi="Arial" w:cs="Arial"/>
          <w:sz w:val="20"/>
          <w:szCs w:val="20"/>
          <w:lang w:val="en-GB"/>
        </w:rPr>
        <w:t>RAN1#104</w:t>
      </w:r>
      <w:r w:rsidR="00D108B4">
        <w:rPr>
          <w:rFonts w:ascii="Arial" w:hAnsi="Arial" w:cs="Arial"/>
          <w:sz w:val="20"/>
          <w:szCs w:val="20"/>
          <w:lang w:val="en-GB"/>
        </w:rPr>
        <w:t>-</w:t>
      </w:r>
      <w:r w:rsidR="002000CD" w:rsidRPr="00877A84">
        <w:rPr>
          <w:rFonts w:ascii="Arial" w:hAnsi="Arial" w:cs="Arial"/>
          <w:sz w:val="20"/>
          <w:szCs w:val="20"/>
          <w:lang w:val="en-GB"/>
        </w:rPr>
        <w:t>e</w:t>
      </w:r>
      <w:r w:rsidRPr="00877A84">
        <w:rPr>
          <w:rFonts w:ascii="Arial" w:hAnsi="Arial" w:cs="Arial"/>
          <w:sz w:val="20"/>
          <w:szCs w:val="20"/>
          <w:lang w:val="en-GB"/>
        </w:rPr>
        <w:t xml:space="preserve">, the following objectives of IAB-MT behaviour in case of resource configuration conflict were </w:t>
      </w:r>
      <w:r w:rsidR="002000CD" w:rsidRPr="00877A84">
        <w:rPr>
          <w:rFonts w:ascii="Arial" w:hAnsi="Arial" w:cs="Arial"/>
          <w:sz w:val="20"/>
          <w:szCs w:val="20"/>
          <w:lang w:val="en-GB"/>
        </w:rPr>
        <w:t>agreed</w:t>
      </w:r>
      <w:r w:rsidR="00D108B4" w:rsidRPr="00D108B4">
        <w:rPr>
          <w:rFonts w:ascii="Arial" w:hAnsi="Arial" w:cs="Arial"/>
          <w:sz w:val="20"/>
          <w:szCs w:val="20"/>
          <w:lang w:val="en-GB"/>
        </w:rPr>
        <w:t xml:space="preserve"> </w:t>
      </w:r>
      <w:r w:rsidR="00D108B4">
        <w:rPr>
          <w:rFonts w:ascii="Arial" w:hAnsi="Arial" w:cs="Arial"/>
          <w:sz w:val="20"/>
          <w:szCs w:val="20"/>
          <w:lang w:val="en-GB"/>
        </w:rPr>
        <w:fldChar w:fldCharType="begin"/>
      </w:r>
      <w:r w:rsidR="00D108B4">
        <w:rPr>
          <w:rFonts w:ascii="Arial" w:hAnsi="Arial" w:cs="Arial"/>
          <w:sz w:val="20"/>
          <w:szCs w:val="20"/>
          <w:lang w:val="en-GB"/>
        </w:rPr>
        <w:instrText xml:space="preserve"> REF _Ref476919366 \r \h </w:instrText>
      </w:r>
      <w:r w:rsidR="006740AE">
        <w:rPr>
          <w:rFonts w:ascii="Arial" w:hAnsi="Arial" w:cs="Arial"/>
          <w:sz w:val="20"/>
          <w:szCs w:val="20"/>
          <w:lang w:val="en-GB"/>
        </w:rPr>
        <w:instrText xml:space="preserve"> \* MERGEFORMAT </w:instrText>
      </w:r>
      <w:r w:rsidR="00D108B4">
        <w:rPr>
          <w:rFonts w:ascii="Arial" w:hAnsi="Arial" w:cs="Arial"/>
          <w:sz w:val="20"/>
          <w:szCs w:val="20"/>
          <w:lang w:val="en-GB"/>
        </w:rPr>
      </w:r>
      <w:r w:rsidR="00D108B4">
        <w:rPr>
          <w:rFonts w:ascii="Arial" w:hAnsi="Arial" w:cs="Arial"/>
          <w:sz w:val="20"/>
          <w:szCs w:val="20"/>
          <w:lang w:val="en-GB"/>
        </w:rPr>
        <w:fldChar w:fldCharType="separate"/>
      </w:r>
      <w:r w:rsidR="00301FA3">
        <w:rPr>
          <w:rFonts w:ascii="Arial" w:hAnsi="Arial" w:cs="Arial"/>
          <w:sz w:val="20"/>
          <w:szCs w:val="20"/>
          <w:lang w:val="en-GB"/>
        </w:rPr>
        <w:t>[8]</w:t>
      </w:r>
      <w:r w:rsidR="00D108B4">
        <w:rPr>
          <w:rFonts w:ascii="Arial" w:hAnsi="Arial" w:cs="Arial"/>
          <w:sz w:val="20"/>
          <w:szCs w:val="20"/>
          <w:lang w:val="en-GB"/>
        </w:rPr>
        <w:fldChar w:fldCharType="end"/>
      </w:r>
      <w:r w:rsidR="002000CD" w:rsidRPr="00877A84">
        <w:rPr>
          <w:rFonts w:ascii="Arial" w:hAnsi="Arial" w:cs="Arial"/>
          <w:sz w:val="20"/>
          <w:szCs w:val="20"/>
          <w:lang w:val="en-GB"/>
        </w:rPr>
        <w:t>:</w:t>
      </w:r>
    </w:p>
    <w:tbl>
      <w:tblPr>
        <w:tblStyle w:val="TableGrid"/>
        <w:tblW w:w="0" w:type="auto"/>
        <w:tblLook w:val="04A0" w:firstRow="1" w:lastRow="0" w:firstColumn="1" w:lastColumn="0" w:noHBand="0" w:noVBand="1"/>
      </w:tblPr>
      <w:tblGrid>
        <w:gridCol w:w="9629"/>
      </w:tblGrid>
      <w:tr w:rsidR="002000CD" w:rsidRPr="004A67F8" w14:paraId="0A1C9BEA" w14:textId="77777777" w:rsidTr="00EE6BB3">
        <w:tc>
          <w:tcPr>
            <w:tcW w:w="9629" w:type="dxa"/>
          </w:tcPr>
          <w:p w14:paraId="4BB67CFB" w14:textId="77777777" w:rsidR="002000CD" w:rsidRPr="00C75E69" w:rsidRDefault="002000CD" w:rsidP="00872BF6">
            <w:pPr>
              <w:ind w:left="1440" w:hanging="1440"/>
              <w:jc w:val="both"/>
              <w:rPr>
                <w:rFonts w:ascii="Arial" w:hAnsi="Arial" w:cs="Arial"/>
                <w:sz w:val="20"/>
                <w:szCs w:val="20"/>
                <w:lang w:val="en-GB" w:eastAsia="x-none"/>
              </w:rPr>
            </w:pPr>
            <w:r w:rsidRPr="00837FC8">
              <w:rPr>
                <w:rFonts w:ascii="Arial" w:hAnsi="Arial" w:cs="Arial"/>
                <w:b/>
                <w:sz w:val="20"/>
                <w:szCs w:val="20"/>
                <w:highlight w:val="green"/>
                <w:lang w:val="en-GB" w:eastAsia="x-none"/>
              </w:rPr>
              <w:t>Agreements</w:t>
            </w:r>
            <w:r w:rsidRPr="00C75E69">
              <w:rPr>
                <w:rFonts w:ascii="Arial" w:hAnsi="Arial" w:cs="Arial"/>
                <w:sz w:val="20"/>
                <w:szCs w:val="20"/>
                <w:lang w:val="en-GB" w:eastAsia="x-none"/>
              </w:rPr>
              <w:t>:</w:t>
            </w:r>
          </w:p>
          <w:p w14:paraId="32E57BFB" w14:textId="77777777" w:rsidR="002000CD" w:rsidRPr="00C75E69" w:rsidRDefault="002000CD" w:rsidP="00872BF6">
            <w:pPr>
              <w:contextualSpacing/>
              <w:jc w:val="both"/>
              <w:rPr>
                <w:rFonts w:ascii="Arial" w:hAnsi="Arial" w:cs="Arial"/>
                <w:sz w:val="20"/>
                <w:szCs w:val="20"/>
                <w:lang w:val="en-GB"/>
              </w:rPr>
            </w:pPr>
            <w:r w:rsidRPr="00C75E69">
              <w:rPr>
                <w:rFonts w:ascii="Arial" w:hAnsi="Arial" w:cs="Arial"/>
                <w:sz w:val="20"/>
                <w:szCs w:val="20"/>
                <w:lang w:val="en-GB"/>
              </w:rPr>
              <w:lastRenderedPageBreak/>
              <w:t>Regardless of simultaneous operation, the same cell-specific/semi-static signals and channels of the IAB-DU considered as hard time/frequency resources in Rel-16 are also considered as hard time/frequency resources in Rel-17.</w:t>
            </w:r>
          </w:p>
          <w:p w14:paraId="32F207A9" w14:textId="4B84AD92" w:rsidR="002000CD" w:rsidRPr="00C659EB" w:rsidRDefault="00032CA1" w:rsidP="00E9707C">
            <w:pPr>
              <w:numPr>
                <w:ilvl w:val="0"/>
                <w:numId w:val="21"/>
              </w:numPr>
              <w:spacing w:before="60"/>
              <w:jc w:val="both"/>
              <w:rPr>
                <w:rFonts w:ascii="Arial" w:hAnsi="Arial" w:cs="Arial"/>
                <w:sz w:val="20"/>
                <w:szCs w:val="20"/>
                <w:lang w:val="en-GB"/>
              </w:rPr>
            </w:pPr>
            <w:r w:rsidRPr="00C75E69">
              <w:rPr>
                <w:rFonts w:ascii="Arial" w:hAnsi="Arial" w:cs="Arial"/>
                <w:sz w:val="20"/>
                <w:szCs w:val="20"/>
                <w:lang w:val="en-GB"/>
              </w:rPr>
              <w:t>FFS: IAB-MT behavior in case of conflicts between cell-specific signals/channels and other resource configurations of the IAB-MT (e.g., dedicated slot configurations)</w:t>
            </w:r>
          </w:p>
        </w:tc>
      </w:tr>
    </w:tbl>
    <w:p w14:paraId="18A0F075" w14:textId="4F812362" w:rsidR="00CD4468" w:rsidRPr="007B4D83" w:rsidRDefault="00CD4468" w:rsidP="00B17975">
      <w:pPr>
        <w:spacing w:before="240"/>
        <w:jc w:val="both"/>
        <w:rPr>
          <w:rFonts w:ascii="Arial" w:hAnsi="Arial" w:cs="Arial"/>
          <w:sz w:val="20"/>
          <w:szCs w:val="20"/>
          <w:lang w:val="en-GB"/>
        </w:rPr>
      </w:pPr>
      <w:r w:rsidRPr="007B4D83">
        <w:rPr>
          <w:rFonts w:ascii="Arial" w:hAnsi="Arial" w:cs="Arial"/>
          <w:sz w:val="20"/>
          <w:szCs w:val="20"/>
          <w:lang w:val="en-GB"/>
        </w:rPr>
        <w:lastRenderedPageBreak/>
        <w:t xml:space="preserve">This means </w:t>
      </w:r>
      <w:r w:rsidR="00DB4BAF" w:rsidRPr="007B4D83">
        <w:rPr>
          <w:rFonts w:ascii="Arial" w:hAnsi="Arial" w:cs="Arial"/>
          <w:sz w:val="20"/>
          <w:szCs w:val="20"/>
          <w:lang w:val="en-GB"/>
        </w:rPr>
        <w:t xml:space="preserve">in simultaneous operation, </w:t>
      </w:r>
      <w:r w:rsidRPr="007B4D83">
        <w:rPr>
          <w:rFonts w:ascii="Arial" w:hAnsi="Arial" w:cs="Arial"/>
          <w:sz w:val="20"/>
          <w:szCs w:val="20"/>
          <w:lang w:val="en-GB"/>
        </w:rPr>
        <w:t xml:space="preserve">the cell-specific/semi-static signals and channels at the IAB-DU, such as SSB transmission, PRACH reception, PDCCH transmission for Type0-PDCCH CSS sets configured by </w:t>
      </w:r>
      <w:r w:rsidRPr="007B4D83">
        <w:rPr>
          <w:rFonts w:ascii="Arial" w:hAnsi="Arial" w:cs="Arial"/>
          <w:i/>
          <w:sz w:val="20"/>
          <w:szCs w:val="20"/>
          <w:lang w:val="en-GB"/>
        </w:rPr>
        <w:t>pdcchConfigSIB1</w:t>
      </w:r>
      <w:r w:rsidRPr="007B4D83">
        <w:rPr>
          <w:rFonts w:ascii="Arial" w:hAnsi="Arial" w:cs="Arial"/>
          <w:sz w:val="20"/>
          <w:szCs w:val="20"/>
          <w:lang w:val="en-GB"/>
        </w:rPr>
        <w:t xml:space="preserve">, </w:t>
      </w:r>
      <w:r w:rsidR="00DB4BAF" w:rsidRPr="007B4D83">
        <w:rPr>
          <w:rFonts w:ascii="Arial" w:hAnsi="Arial" w:cs="Arial"/>
          <w:sz w:val="20"/>
          <w:szCs w:val="20"/>
          <w:lang w:val="en-GB"/>
        </w:rPr>
        <w:t xml:space="preserve">should follow the same rule </w:t>
      </w:r>
      <w:r w:rsidRPr="007B4D83">
        <w:rPr>
          <w:rFonts w:ascii="Arial" w:hAnsi="Arial" w:cs="Arial"/>
          <w:sz w:val="20"/>
          <w:szCs w:val="20"/>
          <w:lang w:val="en-GB"/>
        </w:rPr>
        <w:t xml:space="preserve">as in Rel-16 that the resource is treated as if it were a Hard </w:t>
      </w:r>
      <w:r w:rsidR="00372F40">
        <w:rPr>
          <w:rFonts w:ascii="Arial" w:hAnsi="Arial" w:cs="Arial"/>
          <w:sz w:val="20"/>
          <w:szCs w:val="20"/>
          <w:lang w:val="en-GB"/>
        </w:rPr>
        <w:t>IAB-</w:t>
      </w:r>
      <w:r w:rsidRPr="007B4D83">
        <w:rPr>
          <w:rFonts w:ascii="Arial" w:hAnsi="Arial" w:cs="Arial"/>
          <w:sz w:val="20"/>
          <w:szCs w:val="20"/>
          <w:lang w:val="en-GB"/>
        </w:rPr>
        <w:t xml:space="preserve">DU resource, even if a DU NA or Soft resource is configured. </w:t>
      </w:r>
    </w:p>
    <w:p w14:paraId="7F255C6E" w14:textId="1AE2FC38" w:rsidR="00A80488" w:rsidRPr="00A80488" w:rsidRDefault="006F45BE" w:rsidP="00A80488">
      <w:pPr>
        <w:jc w:val="both"/>
        <w:rPr>
          <w:rFonts w:ascii="Arial" w:hAnsi="Arial" w:cs="Arial"/>
          <w:sz w:val="20"/>
          <w:szCs w:val="20"/>
          <w:lang w:val="en-GB"/>
        </w:rPr>
      </w:pPr>
      <w:r w:rsidRPr="007B4D83">
        <w:rPr>
          <w:rFonts w:ascii="Arial" w:hAnsi="Arial" w:cs="Arial"/>
          <w:sz w:val="20"/>
          <w:szCs w:val="20"/>
          <w:lang w:val="en-GB"/>
        </w:rPr>
        <w:t>Meanwhile</w:t>
      </w:r>
      <w:r w:rsidR="00050266" w:rsidRPr="007B4D83">
        <w:rPr>
          <w:rFonts w:ascii="Arial" w:hAnsi="Arial" w:cs="Arial"/>
          <w:sz w:val="20"/>
          <w:szCs w:val="20"/>
          <w:lang w:val="en-GB"/>
        </w:rPr>
        <w:t>, i</w:t>
      </w:r>
      <w:r w:rsidR="002000CD" w:rsidRPr="007B4D83">
        <w:rPr>
          <w:rFonts w:ascii="Arial" w:hAnsi="Arial" w:cs="Arial"/>
          <w:sz w:val="20"/>
          <w:szCs w:val="20"/>
          <w:lang w:val="en-GB"/>
        </w:rPr>
        <w:t>n order to be compatible with Rel-16 and earlier release UEs, the associated transmission direction at least for SSB transmission, PRACH reception, and SIB transmission at the IAB-DU should be maintained, even if the semi-static DL/UL configuration of DU of some IAB-nodes has been reverted to enable simultaneous IAB-MT and IAB-DU operations.</w:t>
      </w:r>
      <w:bookmarkStart w:id="71" w:name="_Toc54382827"/>
      <w:bookmarkStart w:id="72" w:name="_Toc58832845"/>
      <w:bookmarkStart w:id="73" w:name="_Toc61903480"/>
    </w:p>
    <w:p w14:paraId="5757F6B3" w14:textId="77777777" w:rsidR="002000CD" w:rsidRDefault="002000CD" w:rsidP="007300CA">
      <w:pPr>
        <w:pStyle w:val="Proposal"/>
      </w:pPr>
      <w:bookmarkStart w:id="74" w:name="_Toc71663403"/>
      <w:r w:rsidRPr="007B4D83">
        <w:t>Dedicated transmission directions in terms of DL/UL for cell-specific signals/channels should be maintained when configuring simultaneous operation at an IAB-node.</w:t>
      </w:r>
      <w:bookmarkEnd w:id="71"/>
      <w:bookmarkEnd w:id="72"/>
      <w:bookmarkEnd w:id="73"/>
      <w:bookmarkEnd w:id="74"/>
    </w:p>
    <w:p w14:paraId="64A00BEA" w14:textId="3613E0D8" w:rsidR="002000CD" w:rsidRPr="007B4D83" w:rsidRDefault="002000CD" w:rsidP="00872BF6">
      <w:pPr>
        <w:jc w:val="both"/>
        <w:rPr>
          <w:rFonts w:ascii="Arial" w:hAnsi="Arial" w:cs="Arial"/>
          <w:sz w:val="20"/>
          <w:szCs w:val="20"/>
          <w:lang w:val="en-GB"/>
        </w:rPr>
      </w:pPr>
      <w:r w:rsidRPr="007B4D83">
        <w:rPr>
          <w:rFonts w:ascii="Arial" w:hAnsi="Arial" w:cs="Arial"/>
          <w:sz w:val="20"/>
          <w:szCs w:val="20"/>
          <w:lang w:val="en-GB"/>
        </w:rPr>
        <w:t>More specifically, a Rel-15 UEs does not expect any of the following events to occur:</w:t>
      </w:r>
    </w:p>
    <w:p w14:paraId="6AF5F682" w14:textId="31CFA7BF" w:rsidR="002000CD" w:rsidRPr="00C75E69" w:rsidRDefault="007205A2" w:rsidP="00E9707C">
      <w:pPr>
        <w:pStyle w:val="ListParagraph"/>
        <w:numPr>
          <w:ilvl w:val="0"/>
          <w:numId w:val="19"/>
        </w:numPr>
        <w:contextualSpacing/>
        <w:jc w:val="both"/>
        <w:rPr>
          <w:rFonts w:ascii="Arial" w:hAnsi="Arial" w:cs="Arial"/>
          <w:sz w:val="20"/>
          <w:szCs w:val="20"/>
          <w:lang w:val="en-GB"/>
        </w:rPr>
      </w:pPr>
      <w:r>
        <w:rPr>
          <w:rFonts w:ascii="Arial" w:hAnsi="Arial" w:cs="Arial"/>
          <w:sz w:val="20"/>
          <w:szCs w:val="20"/>
          <w:lang w:val="en-GB"/>
        </w:rPr>
        <w:t>s</w:t>
      </w:r>
      <w:r w:rsidR="00D47984">
        <w:rPr>
          <w:rFonts w:ascii="Arial" w:hAnsi="Arial" w:cs="Arial"/>
          <w:sz w:val="20"/>
          <w:szCs w:val="20"/>
          <w:lang w:val="en-GB"/>
        </w:rPr>
        <w:t>ymbols are simultaneously indicated as both UL and for SSB reception</w:t>
      </w:r>
      <w:r w:rsidR="001F4BE2">
        <w:rPr>
          <w:rFonts w:ascii="Arial" w:hAnsi="Arial" w:cs="Arial"/>
          <w:sz w:val="20"/>
          <w:szCs w:val="20"/>
          <w:lang w:val="en-GB"/>
        </w:rPr>
        <w:t>,</w:t>
      </w:r>
    </w:p>
    <w:p w14:paraId="78FEC5A5" w14:textId="5956C32B" w:rsidR="002000CD" w:rsidRPr="00C75E69" w:rsidRDefault="007205A2" w:rsidP="00E9707C">
      <w:pPr>
        <w:pStyle w:val="ListParagraph"/>
        <w:numPr>
          <w:ilvl w:val="0"/>
          <w:numId w:val="19"/>
        </w:numPr>
        <w:contextualSpacing/>
        <w:jc w:val="both"/>
        <w:rPr>
          <w:rFonts w:ascii="Arial" w:hAnsi="Arial" w:cs="Arial"/>
          <w:sz w:val="20"/>
          <w:szCs w:val="20"/>
          <w:lang w:val="en-GB"/>
        </w:rPr>
      </w:pPr>
      <w:r>
        <w:rPr>
          <w:rFonts w:ascii="Arial" w:hAnsi="Arial" w:cs="Arial"/>
          <w:sz w:val="20"/>
          <w:szCs w:val="20"/>
          <w:lang w:val="en-GB"/>
        </w:rPr>
        <w:t>s</w:t>
      </w:r>
      <w:r w:rsidR="00D47984">
        <w:rPr>
          <w:rFonts w:ascii="Arial" w:hAnsi="Arial" w:cs="Arial"/>
          <w:sz w:val="20"/>
          <w:szCs w:val="20"/>
          <w:lang w:val="en-GB"/>
        </w:rPr>
        <w:t xml:space="preserve">ymbols are simultaneously indicated as both DL and </w:t>
      </w:r>
      <w:r w:rsidR="002000CD" w:rsidRPr="00C75E69">
        <w:rPr>
          <w:rFonts w:ascii="Arial" w:hAnsi="Arial" w:cs="Arial"/>
          <w:sz w:val="20"/>
          <w:szCs w:val="20"/>
          <w:lang w:val="en-GB"/>
        </w:rPr>
        <w:t>for PRACH transmission</w:t>
      </w:r>
      <w:r w:rsidR="001F4BE2">
        <w:rPr>
          <w:rFonts w:ascii="Arial" w:hAnsi="Arial" w:cs="Arial"/>
          <w:sz w:val="20"/>
          <w:szCs w:val="20"/>
          <w:lang w:val="en-GB"/>
        </w:rPr>
        <w:t>, or,</w:t>
      </w:r>
    </w:p>
    <w:p w14:paraId="60F144D9" w14:textId="15AB702F" w:rsidR="002000CD" w:rsidRPr="00C75E69" w:rsidRDefault="007205A2" w:rsidP="00E9707C">
      <w:pPr>
        <w:pStyle w:val="ListParagraph"/>
        <w:numPr>
          <w:ilvl w:val="0"/>
          <w:numId w:val="19"/>
        </w:numPr>
        <w:contextualSpacing/>
        <w:jc w:val="both"/>
        <w:rPr>
          <w:rFonts w:ascii="Arial" w:hAnsi="Arial" w:cs="Arial"/>
          <w:sz w:val="20"/>
          <w:szCs w:val="20"/>
          <w:lang w:val="en-GB"/>
        </w:rPr>
      </w:pPr>
      <w:r>
        <w:rPr>
          <w:rFonts w:ascii="Arial" w:hAnsi="Arial" w:cs="Arial"/>
          <w:sz w:val="20"/>
          <w:szCs w:val="20"/>
          <w:lang w:val="en-GB"/>
        </w:rPr>
        <w:t xml:space="preserve">symbols are simultaneously indicated as both UL and </w:t>
      </w:r>
      <w:r w:rsidR="002000CD" w:rsidRPr="00C75E69">
        <w:rPr>
          <w:rFonts w:ascii="Arial" w:hAnsi="Arial" w:cs="Arial"/>
          <w:sz w:val="20"/>
          <w:szCs w:val="20"/>
          <w:lang w:val="en-GB"/>
        </w:rPr>
        <w:t>for CORESET for Type0-PDCCH CSS set.</w:t>
      </w:r>
    </w:p>
    <w:p w14:paraId="22EB270E" w14:textId="3AF0577D" w:rsidR="002000CD" w:rsidRPr="00E442A4" w:rsidRDefault="002000CD" w:rsidP="00872BF6">
      <w:pPr>
        <w:jc w:val="both"/>
        <w:rPr>
          <w:rFonts w:ascii="Arial" w:hAnsi="Arial" w:cs="Arial"/>
          <w:sz w:val="20"/>
          <w:szCs w:val="20"/>
          <w:lang w:val="en-GB"/>
        </w:rPr>
      </w:pPr>
      <w:r w:rsidRPr="00877A84">
        <w:rPr>
          <w:rFonts w:ascii="Arial" w:hAnsi="Arial" w:cs="Arial"/>
          <w:sz w:val="20"/>
          <w:szCs w:val="20"/>
          <w:lang w:val="en-GB"/>
        </w:rPr>
        <w:t xml:space="preserve">However, an IAB-MT does not necessarily follow the same rule. </w:t>
      </w:r>
      <w:r w:rsidRPr="00E442A4">
        <w:rPr>
          <w:rFonts w:ascii="Arial" w:hAnsi="Arial" w:cs="Arial"/>
          <w:sz w:val="20"/>
          <w:szCs w:val="20"/>
          <w:lang w:val="en-GB"/>
        </w:rPr>
        <w:t>In RAN1#-96bis</w:t>
      </w:r>
      <w:r w:rsidR="007F6F5F">
        <w:rPr>
          <w:rFonts w:ascii="Arial" w:hAnsi="Arial" w:cs="Arial"/>
          <w:sz w:val="20"/>
          <w:szCs w:val="20"/>
          <w:lang w:val="en-GB"/>
        </w:rPr>
        <w:t xml:space="preserve"> </w:t>
      </w:r>
      <w:r w:rsidR="007F6F5F">
        <w:rPr>
          <w:rFonts w:ascii="Arial" w:hAnsi="Arial" w:cs="Arial"/>
          <w:sz w:val="20"/>
          <w:szCs w:val="20"/>
          <w:lang w:val="en-GB"/>
        </w:rPr>
        <w:fldChar w:fldCharType="begin"/>
      </w:r>
      <w:r w:rsidR="007F6F5F">
        <w:rPr>
          <w:rFonts w:ascii="Arial" w:hAnsi="Arial" w:cs="Arial"/>
          <w:sz w:val="20"/>
          <w:szCs w:val="20"/>
          <w:lang w:val="en-GB"/>
        </w:rPr>
        <w:instrText xml:space="preserve"> REF _Ref68031145 \r \h </w:instrText>
      </w:r>
      <w:r w:rsidR="00872BF6">
        <w:rPr>
          <w:rFonts w:ascii="Arial" w:hAnsi="Arial" w:cs="Arial"/>
          <w:sz w:val="20"/>
          <w:szCs w:val="20"/>
          <w:lang w:val="en-GB"/>
        </w:rPr>
        <w:instrText xml:space="preserve"> \* MERGEFORMAT </w:instrText>
      </w:r>
      <w:r w:rsidR="007F6F5F">
        <w:rPr>
          <w:rFonts w:ascii="Arial" w:hAnsi="Arial" w:cs="Arial"/>
          <w:sz w:val="20"/>
          <w:szCs w:val="20"/>
          <w:lang w:val="en-GB"/>
        </w:rPr>
      </w:r>
      <w:r w:rsidR="007F6F5F">
        <w:rPr>
          <w:rFonts w:ascii="Arial" w:hAnsi="Arial" w:cs="Arial"/>
          <w:sz w:val="20"/>
          <w:szCs w:val="20"/>
          <w:lang w:val="en-GB"/>
        </w:rPr>
        <w:fldChar w:fldCharType="separate"/>
      </w:r>
      <w:r w:rsidR="00301FA3" w:rsidRPr="00301FA3">
        <w:rPr>
          <w:rFonts w:ascii="Arial" w:hAnsi="Arial" w:cs="Arial"/>
          <w:bCs/>
          <w:sz w:val="20"/>
          <w:szCs w:val="20"/>
          <w:lang w:val="en-GB"/>
        </w:rPr>
        <w:t>[</w:t>
      </w:r>
      <w:r w:rsidR="00301FA3">
        <w:rPr>
          <w:rFonts w:ascii="Arial" w:hAnsi="Arial" w:cs="Arial"/>
          <w:sz w:val="20"/>
          <w:szCs w:val="20"/>
          <w:lang w:val="en-GB"/>
        </w:rPr>
        <w:t>9]</w:t>
      </w:r>
      <w:r w:rsidR="007F6F5F">
        <w:rPr>
          <w:rFonts w:ascii="Arial" w:hAnsi="Arial" w:cs="Arial"/>
          <w:sz w:val="20"/>
          <w:szCs w:val="20"/>
          <w:lang w:val="en-GB"/>
        </w:rPr>
        <w:fldChar w:fldCharType="end"/>
      </w:r>
      <w:r w:rsidRPr="00E442A4">
        <w:rPr>
          <w:rFonts w:ascii="Arial" w:hAnsi="Arial" w:cs="Arial"/>
          <w:sz w:val="20"/>
          <w:szCs w:val="20"/>
          <w:lang w:val="en-GB"/>
        </w:rPr>
        <w:t>, it was agreed that:</w:t>
      </w:r>
    </w:p>
    <w:tbl>
      <w:tblPr>
        <w:tblStyle w:val="TableGrid"/>
        <w:tblW w:w="0" w:type="auto"/>
        <w:tblLook w:val="04A0" w:firstRow="1" w:lastRow="0" w:firstColumn="1" w:lastColumn="0" w:noHBand="0" w:noVBand="1"/>
      </w:tblPr>
      <w:tblGrid>
        <w:gridCol w:w="9629"/>
      </w:tblGrid>
      <w:tr w:rsidR="002000CD" w:rsidRPr="004A67F8" w14:paraId="1C41A4CB" w14:textId="77777777" w:rsidTr="00EE6BB3">
        <w:tc>
          <w:tcPr>
            <w:tcW w:w="9629" w:type="dxa"/>
          </w:tcPr>
          <w:p w14:paraId="3245FEFB" w14:textId="77777777" w:rsidR="002000CD" w:rsidRPr="00C75E69" w:rsidRDefault="002000CD" w:rsidP="00872BF6">
            <w:pPr>
              <w:jc w:val="both"/>
              <w:rPr>
                <w:rFonts w:ascii="Arial" w:hAnsi="Arial" w:cs="Arial"/>
                <w:sz w:val="20"/>
                <w:szCs w:val="20"/>
                <w:lang w:val="en-GB" w:eastAsia="x-none"/>
              </w:rPr>
            </w:pPr>
            <w:r w:rsidRPr="00C75E69">
              <w:rPr>
                <w:rFonts w:ascii="Arial" w:hAnsi="Arial" w:cs="Arial"/>
                <w:b/>
                <w:sz w:val="20"/>
                <w:szCs w:val="20"/>
                <w:highlight w:val="green"/>
                <w:u w:val="single"/>
                <w:lang w:val="en-GB" w:eastAsia="x-none"/>
              </w:rPr>
              <w:t>Agreements</w:t>
            </w:r>
            <w:r w:rsidRPr="00C75E69">
              <w:rPr>
                <w:rFonts w:ascii="Arial" w:hAnsi="Arial" w:cs="Arial"/>
                <w:sz w:val="20"/>
                <w:szCs w:val="20"/>
                <w:lang w:val="en-GB" w:eastAsia="x-none"/>
              </w:rPr>
              <w:t>:</w:t>
            </w:r>
          </w:p>
          <w:p w14:paraId="4253B42E" w14:textId="77777777" w:rsidR="002000CD" w:rsidRPr="00C75E69" w:rsidRDefault="002000CD" w:rsidP="00872BF6">
            <w:pPr>
              <w:jc w:val="both"/>
              <w:rPr>
                <w:rFonts w:ascii="Arial" w:hAnsi="Arial" w:cs="Arial"/>
                <w:sz w:val="20"/>
                <w:szCs w:val="20"/>
                <w:lang w:val="en-GB"/>
              </w:rPr>
            </w:pPr>
            <w:r w:rsidRPr="00C75E69">
              <w:rPr>
                <w:rFonts w:ascii="Arial" w:hAnsi="Arial" w:cs="Arial"/>
                <w:sz w:val="20"/>
                <w:szCs w:val="20"/>
                <w:lang w:val="en-GB"/>
              </w:rPr>
              <w:t>In case of Hard or Soft Indicated Available DU resources, no additional exception cases need to be defined for cell specific signals/channels to be transmitted or received by the MT in the same resource (e.g. SS/PBCH blocks, SI reception, RACH).</w:t>
            </w:r>
          </w:p>
          <w:p w14:paraId="2034301D" w14:textId="5BD99C77" w:rsidR="002000CD" w:rsidRPr="00C75E69" w:rsidRDefault="002000CD" w:rsidP="00E9707C">
            <w:pPr>
              <w:numPr>
                <w:ilvl w:val="0"/>
                <w:numId w:val="21"/>
              </w:numPr>
              <w:spacing w:before="60"/>
              <w:jc w:val="both"/>
              <w:rPr>
                <w:rFonts w:ascii="Arial" w:hAnsi="Arial" w:cs="Arial"/>
                <w:sz w:val="20"/>
                <w:szCs w:val="20"/>
                <w:lang w:val="en-GB"/>
              </w:rPr>
            </w:pPr>
            <w:r w:rsidRPr="00C75E69">
              <w:rPr>
                <w:rFonts w:ascii="Arial" w:hAnsi="Arial" w:cs="Arial"/>
                <w:sz w:val="20"/>
                <w:szCs w:val="20"/>
                <w:lang w:val="en-GB"/>
              </w:rPr>
              <w:t xml:space="preserve">The decision on whether to give priority to the DU or to the MT for the use of the resource (e.g. in case of MT RACH transmission) is left to the </w:t>
            </w:r>
            <w:r w:rsidR="001F1FDB">
              <w:rPr>
                <w:rFonts w:ascii="Arial" w:hAnsi="Arial" w:cs="Arial"/>
                <w:sz w:val="20"/>
                <w:szCs w:val="20"/>
                <w:lang w:val="en-GB"/>
              </w:rPr>
              <w:t>IAB</w:t>
            </w:r>
            <w:r w:rsidR="00F305EF">
              <w:rPr>
                <w:rFonts w:ascii="Arial" w:hAnsi="Arial" w:cs="Arial"/>
                <w:sz w:val="20"/>
                <w:szCs w:val="20"/>
                <w:lang w:val="en-GB"/>
              </w:rPr>
              <w:t xml:space="preserve"> </w:t>
            </w:r>
            <w:r w:rsidR="001F1FDB">
              <w:rPr>
                <w:rFonts w:ascii="Arial" w:hAnsi="Arial" w:cs="Arial"/>
                <w:sz w:val="20"/>
                <w:szCs w:val="20"/>
                <w:lang w:val="en-GB"/>
              </w:rPr>
              <w:t>node</w:t>
            </w:r>
            <w:r w:rsidRPr="00C75E69">
              <w:rPr>
                <w:rFonts w:ascii="Arial" w:hAnsi="Arial" w:cs="Arial"/>
                <w:sz w:val="20"/>
                <w:szCs w:val="20"/>
                <w:lang w:val="en-GB"/>
              </w:rPr>
              <w:t xml:space="preserve"> implementation.</w:t>
            </w:r>
          </w:p>
          <w:p w14:paraId="0D26957D" w14:textId="77777777" w:rsidR="002000CD" w:rsidRPr="00C75E69" w:rsidRDefault="002000CD" w:rsidP="001002E9">
            <w:pPr>
              <w:numPr>
                <w:ilvl w:val="1"/>
                <w:numId w:val="21"/>
              </w:numPr>
              <w:spacing w:before="60"/>
              <w:jc w:val="both"/>
              <w:rPr>
                <w:rFonts w:ascii="Arial" w:hAnsi="Arial" w:cs="Arial"/>
                <w:sz w:val="20"/>
                <w:szCs w:val="20"/>
                <w:lang w:val="en-GB"/>
              </w:rPr>
            </w:pPr>
            <w:r w:rsidRPr="00C75E69">
              <w:rPr>
                <w:rFonts w:ascii="Arial" w:hAnsi="Arial" w:cs="Arial"/>
                <w:sz w:val="20"/>
                <w:szCs w:val="20"/>
                <w:lang w:val="en-GB"/>
              </w:rPr>
              <w:t>The IAB shall fulfil its performance requirements in terms of measurement and transmission of cell specific signals / channels.</w:t>
            </w:r>
          </w:p>
        </w:tc>
      </w:tr>
    </w:tbl>
    <w:p w14:paraId="1D5BC50F" w14:textId="1A046E3A" w:rsidR="002000CD" w:rsidRPr="007B4D83" w:rsidRDefault="002000CD" w:rsidP="00D65E14">
      <w:pPr>
        <w:spacing w:before="240"/>
        <w:jc w:val="both"/>
        <w:rPr>
          <w:rFonts w:ascii="Arial" w:hAnsi="Arial" w:cs="Arial"/>
          <w:sz w:val="20"/>
          <w:szCs w:val="20"/>
          <w:lang w:val="en-GB"/>
        </w:rPr>
      </w:pPr>
      <w:r w:rsidRPr="007B4D83">
        <w:rPr>
          <w:rFonts w:ascii="Arial" w:hAnsi="Arial" w:cs="Arial"/>
          <w:sz w:val="20"/>
          <w:szCs w:val="20"/>
          <w:lang w:val="en-GB"/>
        </w:rPr>
        <w:t>The</w:t>
      </w:r>
      <w:r w:rsidR="009767FB" w:rsidRPr="007B4D83">
        <w:rPr>
          <w:rFonts w:ascii="Arial" w:hAnsi="Arial" w:cs="Arial"/>
          <w:sz w:val="20"/>
          <w:szCs w:val="20"/>
          <w:lang w:val="en-GB"/>
        </w:rPr>
        <w:t xml:space="preserve"> above</w:t>
      </w:r>
      <w:r w:rsidRPr="007B4D83">
        <w:rPr>
          <w:rFonts w:ascii="Arial" w:hAnsi="Arial" w:cs="Arial"/>
          <w:sz w:val="20"/>
          <w:szCs w:val="20"/>
          <w:lang w:val="en-GB"/>
        </w:rPr>
        <w:t xml:space="preserve"> agreement is based on the understanding that for an IAB-MT, a configured SSB reception, SI reception, and PRACH transmission does not always need to be carried out. Considering the backhaul link is typically static</w:t>
      </w:r>
      <w:r w:rsidR="00D25FEC" w:rsidRPr="007B4D83">
        <w:rPr>
          <w:rFonts w:ascii="Arial" w:hAnsi="Arial" w:cs="Arial"/>
          <w:sz w:val="20"/>
          <w:szCs w:val="20"/>
          <w:lang w:val="en-GB"/>
        </w:rPr>
        <w:t>, stable</w:t>
      </w:r>
      <w:r w:rsidRPr="007B4D83">
        <w:rPr>
          <w:rFonts w:ascii="Arial" w:hAnsi="Arial" w:cs="Arial"/>
          <w:sz w:val="20"/>
          <w:szCs w:val="20"/>
          <w:lang w:val="en-GB"/>
        </w:rPr>
        <w:t xml:space="preserve"> and has good link quality, the impact from not having SSB, PRACH or SIB under certain occasions is not as critical as for the UEs.</w:t>
      </w:r>
    </w:p>
    <w:p w14:paraId="64A38499" w14:textId="77777777" w:rsidR="002000CD" w:rsidRPr="007B4D83" w:rsidRDefault="002000CD" w:rsidP="00872BF6">
      <w:pPr>
        <w:jc w:val="both"/>
        <w:rPr>
          <w:rFonts w:ascii="Arial" w:hAnsi="Arial" w:cs="Arial"/>
          <w:sz w:val="20"/>
          <w:szCs w:val="20"/>
          <w:lang w:val="en-GB"/>
        </w:rPr>
      </w:pPr>
      <w:r w:rsidRPr="007B4D83">
        <w:rPr>
          <w:rFonts w:ascii="Arial" w:hAnsi="Arial" w:cs="Arial"/>
          <w:sz w:val="20"/>
          <w:szCs w:val="20"/>
          <w:lang w:val="en-GB"/>
        </w:rPr>
        <w:t xml:space="preserve">In addition, Rel-16 has specified means to configure the IAB-node and parent node with non-overlapping occasions for SSB and PRACH which are IAB-node-specific. </w:t>
      </w:r>
    </w:p>
    <w:p w14:paraId="7022CB9A" w14:textId="43F92BCE" w:rsidR="002000CD" w:rsidRPr="00C75E69" w:rsidRDefault="002000CD" w:rsidP="00E9707C">
      <w:pPr>
        <w:pStyle w:val="ListParagraph"/>
        <w:numPr>
          <w:ilvl w:val="0"/>
          <w:numId w:val="22"/>
        </w:numPr>
        <w:contextualSpacing/>
        <w:jc w:val="both"/>
        <w:rPr>
          <w:rFonts w:ascii="Arial" w:hAnsi="Arial" w:cs="Arial"/>
          <w:sz w:val="20"/>
          <w:szCs w:val="20"/>
          <w:lang w:val="en-GB"/>
        </w:rPr>
      </w:pPr>
      <w:r w:rsidRPr="00C75E69">
        <w:rPr>
          <w:rFonts w:ascii="Arial" w:hAnsi="Arial" w:cs="Arial"/>
          <w:sz w:val="20"/>
          <w:szCs w:val="20"/>
          <w:lang w:val="en-GB"/>
        </w:rPr>
        <w:t>It has been agreed in RAN1#98bis</w:t>
      </w:r>
      <w:r w:rsidR="007F6F5F">
        <w:rPr>
          <w:rFonts w:ascii="Arial" w:hAnsi="Arial" w:cs="Arial"/>
          <w:sz w:val="20"/>
          <w:szCs w:val="20"/>
          <w:lang w:val="en-GB"/>
        </w:rPr>
        <w:t xml:space="preserve"> </w:t>
      </w:r>
      <w:r w:rsidR="00D108B4">
        <w:rPr>
          <w:rFonts w:ascii="Arial" w:hAnsi="Arial" w:cs="Arial"/>
          <w:sz w:val="20"/>
          <w:szCs w:val="20"/>
          <w:lang w:val="en-GB"/>
        </w:rPr>
        <w:fldChar w:fldCharType="begin"/>
      </w:r>
      <w:r w:rsidR="00D108B4">
        <w:rPr>
          <w:rFonts w:ascii="Arial" w:hAnsi="Arial" w:cs="Arial"/>
          <w:sz w:val="20"/>
          <w:szCs w:val="20"/>
          <w:lang w:val="en-GB"/>
        </w:rPr>
        <w:instrText xml:space="preserve"> REF _Ref70110109 \r \h </w:instrText>
      </w:r>
      <w:r w:rsidR="006740AE">
        <w:rPr>
          <w:rFonts w:ascii="Arial" w:hAnsi="Arial" w:cs="Arial"/>
          <w:sz w:val="20"/>
          <w:szCs w:val="20"/>
          <w:lang w:val="en-GB"/>
        </w:rPr>
        <w:instrText xml:space="preserve"> \* MERGEFORMAT </w:instrText>
      </w:r>
      <w:r w:rsidR="00D108B4">
        <w:rPr>
          <w:rFonts w:ascii="Arial" w:hAnsi="Arial" w:cs="Arial"/>
          <w:sz w:val="20"/>
          <w:szCs w:val="20"/>
          <w:lang w:val="en-GB"/>
        </w:rPr>
      </w:r>
      <w:r w:rsidR="00D108B4">
        <w:rPr>
          <w:rFonts w:ascii="Arial" w:hAnsi="Arial" w:cs="Arial"/>
          <w:sz w:val="20"/>
          <w:szCs w:val="20"/>
          <w:lang w:val="en-GB"/>
        </w:rPr>
        <w:fldChar w:fldCharType="separate"/>
      </w:r>
      <w:r w:rsidR="00301FA3">
        <w:rPr>
          <w:rFonts w:ascii="Arial" w:hAnsi="Arial" w:cs="Arial"/>
          <w:sz w:val="20"/>
          <w:szCs w:val="20"/>
          <w:lang w:val="en-GB"/>
        </w:rPr>
        <w:t>[10]</w:t>
      </w:r>
      <w:r w:rsidR="00D108B4">
        <w:rPr>
          <w:rFonts w:ascii="Arial" w:hAnsi="Arial" w:cs="Arial"/>
          <w:sz w:val="20"/>
          <w:szCs w:val="20"/>
          <w:lang w:val="en-GB"/>
        </w:rPr>
        <w:fldChar w:fldCharType="end"/>
      </w:r>
      <w:r w:rsidRPr="00C75E69">
        <w:rPr>
          <w:rFonts w:ascii="Arial" w:hAnsi="Arial" w:cs="Arial"/>
          <w:sz w:val="20"/>
          <w:szCs w:val="20"/>
          <w:lang w:val="en-GB"/>
        </w:rPr>
        <w:t xml:space="preserve"> that for inter-IAB-node discovery and measurement, the IAB-node does not expect STC and SMTC are overlapped in time. </w:t>
      </w:r>
    </w:p>
    <w:p w14:paraId="01E9D3FA" w14:textId="7C61EEB1" w:rsidR="002000CD" w:rsidRPr="00C75E69" w:rsidRDefault="002000CD" w:rsidP="00E9707C">
      <w:pPr>
        <w:pStyle w:val="ListParagraph"/>
        <w:numPr>
          <w:ilvl w:val="0"/>
          <w:numId w:val="22"/>
        </w:numPr>
        <w:contextualSpacing/>
        <w:jc w:val="both"/>
        <w:rPr>
          <w:rFonts w:ascii="Arial" w:hAnsi="Arial" w:cs="Arial"/>
          <w:sz w:val="20"/>
          <w:szCs w:val="20"/>
          <w:lang w:val="en-GB"/>
        </w:rPr>
      </w:pPr>
      <w:r w:rsidRPr="00C75E69">
        <w:rPr>
          <w:rFonts w:ascii="Arial" w:hAnsi="Arial" w:cs="Arial"/>
          <w:sz w:val="20"/>
          <w:szCs w:val="20"/>
          <w:lang w:val="en-GB"/>
        </w:rPr>
        <w:t xml:space="preserve">It has been agreed in RAN1#96bis to use a </w:t>
      </w:r>
      <w:r w:rsidR="00D25FEC" w:rsidRPr="00C75E69">
        <w:rPr>
          <w:rFonts w:ascii="Arial" w:hAnsi="Arial" w:cs="Arial"/>
          <w:sz w:val="20"/>
          <w:szCs w:val="20"/>
          <w:lang w:val="en-GB"/>
        </w:rPr>
        <w:t xml:space="preserve">subframe or slot </w:t>
      </w:r>
      <w:r w:rsidRPr="00C75E69">
        <w:rPr>
          <w:rFonts w:ascii="Arial" w:hAnsi="Arial" w:cs="Arial"/>
          <w:sz w:val="20"/>
          <w:szCs w:val="20"/>
          <w:lang w:val="en-GB"/>
        </w:rPr>
        <w:t xml:space="preserve">offset to enable non-overlapping </w:t>
      </w:r>
      <w:r w:rsidR="007C6C4C">
        <w:rPr>
          <w:rFonts w:ascii="Arial" w:hAnsi="Arial" w:cs="Arial"/>
          <w:sz w:val="20"/>
          <w:szCs w:val="20"/>
          <w:lang w:val="en-GB"/>
        </w:rPr>
        <w:t xml:space="preserve">IAB-specific </w:t>
      </w:r>
      <w:r w:rsidRPr="00C75E69">
        <w:rPr>
          <w:rFonts w:ascii="Arial" w:hAnsi="Arial" w:cs="Arial"/>
          <w:sz w:val="20"/>
          <w:szCs w:val="20"/>
          <w:lang w:val="en-GB"/>
        </w:rPr>
        <w:t xml:space="preserve">backhaul RACH occasions. </w:t>
      </w:r>
    </w:p>
    <w:p w14:paraId="0275C935" w14:textId="214E7182" w:rsidR="002000CD" w:rsidRPr="00877A84" w:rsidRDefault="002000CD" w:rsidP="00872BF6">
      <w:pPr>
        <w:jc w:val="both"/>
        <w:rPr>
          <w:rFonts w:ascii="Arial" w:hAnsi="Arial" w:cs="Arial"/>
          <w:sz w:val="20"/>
          <w:szCs w:val="20"/>
          <w:lang w:val="en-GB"/>
        </w:rPr>
      </w:pPr>
      <w:r w:rsidRPr="00877A84">
        <w:rPr>
          <w:rFonts w:ascii="Arial" w:hAnsi="Arial" w:cs="Arial"/>
          <w:sz w:val="20"/>
          <w:szCs w:val="20"/>
          <w:lang w:val="en-GB"/>
        </w:rPr>
        <w:t xml:space="preserve">So, it is possible for </w:t>
      </w:r>
      <w:r w:rsidR="001F1FDB">
        <w:rPr>
          <w:rFonts w:ascii="Arial" w:hAnsi="Arial" w:cs="Arial"/>
          <w:sz w:val="20"/>
          <w:szCs w:val="20"/>
          <w:lang w:val="en-GB"/>
        </w:rPr>
        <w:t>a</w:t>
      </w:r>
      <w:r w:rsidR="00493B2E">
        <w:rPr>
          <w:rFonts w:ascii="Arial" w:hAnsi="Arial" w:cs="Arial"/>
          <w:sz w:val="20"/>
          <w:szCs w:val="20"/>
          <w:lang w:val="en-GB"/>
        </w:rPr>
        <w:t>n</w:t>
      </w:r>
      <w:r w:rsidR="001F1FDB">
        <w:rPr>
          <w:rFonts w:ascii="Arial" w:hAnsi="Arial" w:cs="Arial"/>
          <w:sz w:val="20"/>
          <w:szCs w:val="20"/>
          <w:lang w:val="en-GB"/>
        </w:rPr>
        <w:t xml:space="preserve"> </w:t>
      </w:r>
      <w:r w:rsidR="00E6365D">
        <w:rPr>
          <w:rFonts w:ascii="Arial" w:hAnsi="Arial" w:cs="Arial"/>
          <w:sz w:val="20"/>
          <w:szCs w:val="20"/>
          <w:lang w:val="en-GB"/>
        </w:rPr>
        <w:t>IAB-</w:t>
      </w:r>
      <w:r w:rsidR="001F1FDB">
        <w:rPr>
          <w:rFonts w:ascii="Arial" w:hAnsi="Arial" w:cs="Arial"/>
          <w:sz w:val="20"/>
          <w:szCs w:val="20"/>
          <w:lang w:val="en-GB"/>
        </w:rPr>
        <w:t>donor-CU</w:t>
      </w:r>
      <w:r w:rsidRPr="00877A84">
        <w:rPr>
          <w:rFonts w:ascii="Arial" w:hAnsi="Arial" w:cs="Arial"/>
          <w:sz w:val="20"/>
          <w:szCs w:val="20"/>
          <w:lang w:val="en-GB"/>
        </w:rPr>
        <w:t xml:space="preserve"> to configure proper transmission occasions to an IAB-MT for SSB and PRACH, meanwhile, to enable simultaneous transmission or reception at the IAB-node. In this case, an IAB-MT can be assumed to:</w:t>
      </w:r>
    </w:p>
    <w:p w14:paraId="7BB4B03F" w14:textId="57180F0F" w:rsidR="002000CD" w:rsidRPr="00C75E69" w:rsidRDefault="002000CD" w:rsidP="00E9707C">
      <w:pPr>
        <w:pStyle w:val="ListParagraph"/>
        <w:numPr>
          <w:ilvl w:val="0"/>
          <w:numId w:val="20"/>
        </w:numPr>
        <w:contextualSpacing/>
        <w:jc w:val="both"/>
        <w:rPr>
          <w:rFonts w:ascii="Arial" w:hAnsi="Arial" w:cs="Arial"/>
          <w:sz w:val="20"/>
          <w:szCs w:val="20"/>
          <w:lang w:val="en-GB"/>
        </w:rPr>
      </w:pPr>
      <w:r w:rsidRPr="00C75E69">
        <w:rPr>
          <w:rFonts w:ascii="Arial" w:hAnsi="Arial" w:cs="Arial"/>
          <w:sz w:val="20"/>
          <w:szCs w:val="20"/>
          <w:lang w:val="en-GB"/>
        </w:rPr>
        <w:t>not receive SSB if the associated symbols are indicated as UL</w:t>
      </w:r>
      <w:r w:rsidR="00513F5A">
        <w:rPr>
          <w:rFonts w:ascii="Arial" w:hAnsi="Arial" w:cs="Arial"/>
          <w:sz w:val="20"/>
          <w:szCs w:val="20"/>
          <w:lang w:val="en-GB"/>
        </w:rPr>
        <w:t>,</w:t>
      </w:r>
    </w:p>
    <w:p w14:paraId="5DDA685A" w14:textId="5239A0B4" w:rsidR="002000CD" w:rsidRPr="00C75E69" w:rsidRDefault="002000CD" w:rsidP="00E9707C">
      <w:pPr>
        <w:pStyle w:val="ListParagraph"/>
        <w:numPr>
          <w:ilvl w:val="0"/>
          <w:numId w:val="20"/>
        </w:numPr>
        <w:contextualSpacing/>
        <w:jc w:val="both"/>
        <w:rPr>
          <w:rFonts w:ascii="Arial" w:hAnsi="Arial" w:cs="Arial"/>
          <w:sz w:val="20"/>
          <w:szCs w:val="20"/>
          <w:lang w:val="en-GB"/>
        </w:rPr>
      </w:pPr>
      <w:r w:rsidRPr="00C75E69">
        <w:rPr>
          <w:rFonts w:ascii="Arial" w:hAnsi="Arial" w:cs="Arial"/>
          <w:sz w:val="20"/>
          <w:szCs w:val="20"/>
          <w:lang w:val="en-GB"/>
        </w:rPr>
        <w:t>not transmit PRACH if the associated symbols are indicated as DL</w:t>
      </w:r>
      <w:r w:rsidR="00513F5A">
        <w:rPr>
          <w:rFonts w:ascii="Arial" w:hAnsi="Arial" w:cs="Arial"/>
          <w:sz w:val="20"/>
          <w:szCs w:val="20"/>
          <w:lang w:val="en-GB"/>
        </w:rPr>
        <w:t>, or,</w:t>
      </w:r>
    </w:p>
    <w:p w14:paraId="1EE226A1" w14:textId="77777777" w:rsidR="002000CD" w:rsidRPr="00C75E69" w:rsidRDefault="002000CD" w:rsidP="00E9707C">
      <w:pPr>
        <w:pStyle w:val="ListParagraph"/>
        <w:numPr>
          <w:ilvl w:val="0"/>
          <w:numId w:val="20"/>
        </w:numPr>
        <w:contextualSpacing/>
        <w:jc w:val="both"/>
        <w:rPr>
          <w:rFonts w:ascii="Arial" w:hAnsi="Arial" w:cs="Arial"/>
          <w:sz w:val="20"/>
          <w:szCs w:val="20"/>
          <w:lang w:val="en-GB"/>
        </w:rPr>
      </w:pPr>
      <w:r w:rsidRPr="00C75E69">
        <w:rPr>
          <w:rFonts w:ascii="Arial" w:hAnsi="Arial" w:cs="Arial"/>
          <w:sz w:val="20"/>
          <w:szCs w:val="20"/>
          <w:lang w:val="en-GB"/>
        </w:rPr>
        <w:t xml:space="preserve">not receive SIB if the associated symbols are indicated as UL. </w:t>
      </w:r>
    </w:p>
    <w:p w14:paraId="3927FAA8" w14:textId="2400FA23" w:rsidR="00A80488" w:rsidRDefault="00A80488" w:rsidP="004C1059">
      <w:pPr>
        <w:pStyle w:val="Proposal"/>
        <w:spacing w:after="0"/>
      </w:pPr>
      <w:bookmarkStart w:id="75" w:name="_Ref189046994"/>
      <w:bookmarkStart w:id="76" w:name="_Toc71663404"/>
      <w:r w:rsidRPr="00313740">
        <w:lastRenderedPageBreak/>
        <w:t>For an IAB-MT</w:t>
      </w:r>
      <w:r w:rsidRPr="00313740">
        <w:t>,</w:t>
      </w:r>
      <w:bookmarkEnd w:id="76"/>
      <w:r>
        <w:t xml:space="preserve"> </w:t>
      </w:r>
    </w:p>
    <w:p w14:paraId="0B2AB99A" w14:textId="37DB5E89" w:rsidR="00A80488" w:rsidRDefault="00A80488" w:rsidP="004C1059">
      <w:pPr>
        <w:pStyle w:val="Proposal"/>
        <w:numPr>
          <w:ilvl w:val="1"/>
          <w:numId w:val="2"/>
        </w:numPr>
        <w:spacing w:after="0"/>
      </w:pPr>
      <w:bookmarkStart w:id="77" w:name="_Toc71636637"/>
      <w:bookmarkStart w:id="78" w:name="_Toc71636711"/>
      <w:bookmarkStart w:id="79" w:name="_Toc71636881"/>
      <w:bookmarkStart w:id="80" w:name="_Toc71637088"/>
      <w:bookmarkStart w:id="81" w:name="_Toc71663405"/>
      <w:bookmarkEnd w:id="77"/>
      <w:bookmarkEnd w:id="78"/>
      <w:bookmarkEnd w:id="79"/>
      <w:bookmarkEnd w:id="80"/>
      <w:r w:rsidRPr="00313740">
        <w:t>an indicated transmission overrides a configured SSB reception,</w:t>
      </w:r>
      <w:bookmarkEnd w:id="81"/>
    </w:p>
    <w:p w14:paraId="6501CBA8" w14:textId="57B914A7" w:rsidR="00A80488" w:rsidRDefault="00A80488" w:rsidP="004C1059">
      <w:pPr>
        <w:pStyle w:val="Proposal"/>
        <w:numPr>
          <w:ilvl w:val="1"/>
          <w:numId w:val="2"/>
        </w:numPr>
        <w:spacing w:after="0"/>
      </w:pPr>
      <w:bookmarkStart w:id="82" w:name="_Toc71636639"/>
      <w:bookmarkStart w:id="83" w:name="_Toc71636713"/>
      <w:bookmarkStart w:id="84" w:name="_Toc71636883"/>
      <w:bookmarkStart w:id="85" w:name="_Toc71637090"/>
      <w:bookmarkStart w:id="86" w:name="_Toc71663406"/>
      <w:bookmarkEnd w:id="82"/>
      <w:bookmarkEnd w:id="83"/>
      <w:bookmarkEnd w:id="84"/>
      <w:bookmarkEnd w:id="85"/>
      <w:r w:rsidRPr="00313740">
        <w:t>an indicated reception overrides a configured PRACH transmission, and</w:t>
      </w:r>
      <w:bookmarkEnd w:id="86"/>
    </w:p>
    <w:p w14:paraId="6E71C2E3" w14:textId="7445096E" w:rsidR="00A80488" w:rsidRPr="00A80488" w:rsidRDefault="00A80488" w:rsidP="008D3EC4">
      <w:pPr>
        <w:pStyle w:val="Proposal"/>
        <w:numPr>
          <w:ilvl w:val="1"/>
          <w:numId w:val="2"/>
        </w:numPr>
      </w:pPr>
      <w:bookmarkStart w:id="87" w:name="_Toc71636641"/>
      <w:bookmarkStart w:id="88" w:name="_Toc71636715"/>
      <w:bookmarkStart w:id="89" w:name="_Toc71636885"/>
      <w:bookmarkStart w:id="90" w:name="_Toc71637092"/>
      <w:bookmarkStart w:id="91" w:name="_Toc71663407"/>
      <w:bookmarkEnd w:id="87"/>
      <w:bookmarkEnd w:id="88"/>
      <w:bookmarkEnd w:id="89"/>
      <w:bookmarkEnd w:id="90"/>
      <w:r w:rsidRPr="00313740">
        <w:t>an indicated transmission overrides a configured SI</w:t>
      </w:r>
      <w:r w:rsidRPr="00313740">
        <w:t>B</w:t>
      </w:r>
      <w:r w:rsidRPr="00313740">
        <w:t xml:space="preserve"> reception.</w:t>
      </w:r>
      <w:bookmarkEnd w:id="91"/>
    </w:p>
    <w:p w14:paraId="54B1F54F" w14:textId="1564D9AA" w:rsidR="00442119" w:rsidRPr="00313740" w:rsidRDefault="0050259B" w:rsidP="00313740">
      <w:pPr>
        <w:pStyle w:val="Heading1"/>
      </w:pPr>
      <w:r w:rsidRPr="00313740">
        <w:t>Dual con</w:t>
      </w:r>
      <w:r w:rsidR="0047328E" w:rsidRPr="00313740">
        <w:t>n</w:t>
      </w:r>
      <w:r w:rsidRPr="00313740">
        <w:t>ectivity</w:t>
      </w:r>
      <w:bookmarkEnd w:id="75"/>
    </w:p>
    <w:p w14:paraId="4C7B0D25" w14:textId="5DD76F3F" w:rsidR="00611F0B" w:rsidRPr="00877A84" w:rsidRDefault="00611F0B" w:rsidP="00611F0B">
      <w:pPr>
        <w:jc w:val="both"/>
        <w:rPr>
          <w:rFonts w:ascii="Arial" w:hAnsi="Arial" w:cs="Arial"/>
          <w:sz w:val="20"/>
          <w:szCs w:val="20"/>
          <w:lang w:val="en-GB"/>
        </w:rPr>
      </w:pPr>
      <w:r w:rsidRPr="00877A84">
        <w:rPr>
          <w:rFonts w:ascii="Arial" w:hAnsi="Arial" w:cs="Arial"/>
          <w:sz w:val="20"/>
          <w:szCs w:val="20"/>
          <w:lang w:val="en-GB"/>
        </w:rPr>
        <w:t>In RAN1 #104</w:t>
      </w:r>
      <w:r w:rsidR="00D108B4">
        <w:rPr>
          <w:rFonts w:ascii="Arial" w:hAnsi="Arial" w:cs="Arial"/>
          <w:sz w:val="20"/>
          <w:szCs w:val="20"/>
          <w:lang w:val="en-GB"/>
        </w:rPr>
        <w:t>-</w:t>
      </w:r>
      <w:r w:rsidRPr="00877A84">
        <w:rPr>
          <w:rFonts w:ascii="Arial" w:hAnsi="Arial" w:cs="Arial"/>
          <w:sz w:val="20"/>
          <w:szCs w:val="20"/>
          <w:lang w:val="en-GB"/>
        </w:rPr>
        <w:t>e, the following objectives of the IAB work item regarding dual connectivity were agreed</w:t>
      </w:r>
      <w:r w:rsidR="00D108B4" w:rsidRPr="00D108B4">
        <w:rPr>
          <w:rFonts w:ascii="Arial" w:hAnsi="Arial" w:cs="Arial"/>
          <w:sz w:val="20"/>
          <w:szCs w:val="20"/>
          <w:lang w:val="en-GB"/>
        </w:rPr>
        <w:t xml:space="preserve"> </w:t>
      </w:r>
      <w:r w:rsidR="00D108B4">
        <w:rPr>
          <w:rFonts w:ascii="Arial" w:hAnsi="Arial" w:cs="Arial"/>
          <w:sz w:val="20"/>
          <w:szCs w:val="20"/>
          <w:lang w:val="en-GB"/>
        </w:rPr>
        <w:fldChar w:fldCharType="begin"/>
      </w:r>
      <w:r w:rsidR="00D108B4">
        <w:rPr>
          <w:rFonts w:ascii="Arial" w:hAnsi="Arial" w:cs="Arial"/>
          <w:sz w:val="20"/>
          <w:szCs w:val="20"/>
          <w:lang w:val="en-GB"/>
        </w:rPr>
        <w:instrText xml:space="preserve"> REF _Ref476919366 \r \h </w:instrText>
      </w:r>
      <w:r w:rsidR="006740AE">
        <w:rPr>
          <w:rFonts w:ascii="Arial" w:hAnsi="Arial" w:cs="Arial"/>
          <w:sz w:val="20"/>
          <w:szCs w:val="20"/>
          <w:lang w:val="en-GB"/>
        </w:rPr>
        <w:instrText xml:space="preserve"> \* MERGEFORMAT </w:instrText>
      </w:r>
      <w:r w:rsidR="00D108B4">
        <w:rPr>
          <w:rFonts w:ascii="Arial" w:hAnsi="Arial" w:cs="Arial"/>
          <w:sz w:val="20"/>
          <w:szCs w:val="20"/>
          <w:lang w:val="en-GB"/>
        </w:rPr>
      </w:r>
      <w:r w:rsidR="00D108B4">
        <w:rPr>
          <w:rFonts w:ascii="Arial" w:hAnsi="Arial" w:cs="Arial"/>
          <w:sz w:val="20"/>
          <w:szCs w:val="20"/>
          <w:lang w:val="en-GB"/>
        </w:rPr>
        <w:fldChar w:fldCharType="separate"/>
      </w:r>
      <w:r w:rsidR="00301FA3">
        <w:rPr>
          <w:rFonts w:ascii="Arial" w:hAnsi="Arial" w:cs="Arial"/>
          <w:sz w:val="20"/>
          <w:szCs w:val="20"/>
          <w:lang w:val="en-GB"/>
        </w:rPr>
        <w:t>[8]</w:t>
      </w:r>
      <w:r w:rsidR="00D108B4">
        <w:rPr>
          <w:rFonts w:ascii="Arial" w:hAnsi="Arial" w:cs="Arial"/>
          <w:sz w:val="20"/>
          <w:szCs w:val="20"/>
          <w:lang w:val="en-GB"/>
        </w:rPr>
        <w:fldChar w:fldCharType="end"/>
      </w:r>
      <w:r w:rsidRPr="00877A84">
        <w:rPr>
          <w:rFonts w:ascii="Arial" w:hAnsi="Arial" w:cs="Arial"/>
          <w:sz w:val="20"/>
          <w:szCs w:val="20"/>
          <w:lang w:val="en-GB"/>
        </w:rPr>
        <w:t>:</w:t>
      </w:r>
    </w:p>
    <w:tbl>
      <w:tblPr>
        <w:tblStyle w:val="TableGrid"/>
        <w:tblW w:w="0" w:type="auto"/>
        <w:tblLook w:val="04A0" w:firstRow="1" w:lastRow="0" w:firstColumn="1" w:lastColumn="0" w:noHBand="0" w:noVBand="1"/>
      </w:tblPr>
      <w:tblGrid>
        <w:gridCol w:w="9629"/>
      </w:tblGrid>
      <w:tr w:rsidR="00611F0B" w:rsidRPr="004A67F8" w14:paraId="7A92858E" w14:textId="77777777" w:rsidTr="00D73AC0">
        <w:tc>
          <w:tcPr>
            <w:tcW w:w="9629" w:type="dxa"/>
          </w:tcPr>
          <w:p w14:paraId="27B4300A" w14:textId="77777777" w:rsidR="00611F0B" w:rsidRPr="00C75E69" w:rsidRDefault="00611F0B" w:rsidP="00D73AC0">
            <w:pPr>
              <w:contextualSpacing/>
              <w:jc w:val="both"/>
              <w:rPr>
                <w:rFonts w:ascii="Arial" w:hAnsi="Arial" w:cs="Arial"/>
                <w:color w:val="000000"/>
                <w:sz w:val="20"/>
                <w:szCs w:val="20"/>
                <w:lang w:val="en-GB"/>
              </w:rPr>
            </w:pPr>
            <w:r w:rsidRPr="00C75E69">
              <w:rPr>
                <w:rFonts w:ascii="Arial" w:hAnsi="Arial" w:cs="Arial"/>
                <w:b/>
                <w:bCs/>
                <w:color w:val="000000"/>
                <w:sz w:val="20"/>
                <w:szCs w:val="20"/>
                <w:highlight w:val="green"/>
                <w:lang w:val="en-GB"/>
              </w:rPr>
              <w:t>Agreement</w:t>
            </w:r>
          </w:p>
          <w:p w14:paraId="46A3C32E" w14:textId="77777777" w:rsidR="00611F0B" w:rsidRPr="00C75E69" w:rsidRDefault="00611F0B" w:rsidP="00D73AC0">
            <w:pPr>
              <w:contextualSpacing/>
              <w:jc w:val="both"/>
              <w:rPr>
                <w:rFonts w:ascii="Arial" w:hAnsi="Arial" w:cs="Arial"/>
                <w:color w:val="000000"/>
                <w:sz w:val="20"/>
                <w:szCs w:val="20"/>
                <w:lang w:val="en-GB"/>
              </w:rPr>
            </w:pPr>
          </w:p>
          <w:p w14:paraId="1383837F" w14:textId="77777777" w:rsidR="00611F0B" w:rsidRPr="00C75E69" w:rsidRDefault="00611F0B" w:rsidP="00D73AC0">
            <w:pPr>
              <w:contextualSpacing/>
              <w:jc w:val="both"/>
              <w:rPr>
                <w:rFonts w:ascii="Arial" w:hAnsi="Arial" w:cs="Arial"/>
                <w:color w:val="000000"/>
                <w:sz w:val="20"/>
                <w:szCs w:val="20"/>
                <w:lang w:val="en-GB"/>
              </w:rPr>
            </w:pPr>
            <w:r w:rsidRPr="00C75E69">
              <w:rPr>
                <w:rFonts w:ascii="Arial" w:hAnsi="Arial" w:cs="Arial"/>
                <w:color w:val="000000"/>
                <w:sz w:val="20"/>
                <w:szCs w:val="20"/>
                <w:lang w:val="en-GB"/>
              </w:rPr>
              <w:t>The following are considered to support at least inter-band inter-carrier scenarios in Rel-17:</w:t>
            </w:r>
          </w:p>
          <w:p w14:paraId="37585310" w14:textId="77777777" w:rsidR="00611F0B" w:rsidRPr="00C75E69" w:rsidRDefault="00611F0B" w:rsidP="00611F0B">
            <w:pPr>
              <w:pStyle w:val="ListParagraph"/>
              <w:numPr>
                <w:ilvl w:val="0"/>
                <w:numId w:val="14"/>
              </w:numPr>
              <w:jc w:val="both"/>
              <w:rPr>
                <w:rFonts w:ascii="Arial" w:hAnsi="Arial" w:cs="Arial"/>
                <w:color w:val="000000"/>
                <w:sz w:val="20"/>
                <w:szCs w:val="20"/>
                <w:lang w:val="en-GB"/>
              </w:rPr>
            </w:pPr>
            <w:r w:rsidRPr="00C75E69">
              <w:rPr>
                <w:rFonts w:ascii="Arial" w:hAnsi="Arial" w:cs="Arial"/>
                <w:color w:val="000000"/>
                <w:sz w:val="20"/>
                <w:szCs w:val="20"/>
                <w:lang w:val="en-GB"/>
              </w:rPr>
              <w:t xml:space="preserve">Solutions to address resource coordination/scheduling collision issues between parent nodes including TDD configurations and resource type indications at least in case of intra-donor CU multi-parent scenarios </w:t>
            </w:r>
          </w:p>
          <w:p w14:paraId="527761EE" w14:textId="77777777" w:rsidR="00611F0B" w:rsidRPr="00C75E69" w:rsidRDefault="00611F0B" w:rsidP="00611F0B">
            <w:pPr>
              <w:pStyle w:val="ListParagraph"/>
              <w:numPr>
                <w:ilvl w:val="1"/>
                <w:numId w:val="14"/>
              </w:numPr>
              <w:jc w:val="both"/>
              <w:rPr>
                <w:rFonts w:ascii="Arial" w:hAnsi="Arial" w:cs="Arial"/>
                <w:color w:val="000000"/>
                <w:sz w:val="20"/>
                <w:szCs w:val="20"/>
                <w:lang w:val="en-GB"/>
              </w:rPr>
            </w:pPr>
            <w:r w:rsidRPr="00C75E69">
              <w:rPr>
                <w:rFonts w:ascii="Arial" w:hAnsi="Arial" w:cs="Arial"/>
                <w:color w:val="000000"/>
                <w:sz w:val="20"/>
                <w:szCs w:val="20"/>
                <w:lang w:val="en-GB"/>
              </w:rPr>
              <w:t>Consider Rel-16 CA framework as starting point</w:t>
            </w:r>
          </w:p>
          <w:p w14:paraId="48F4CE7D" w14:textId="77777777" w:rsidR="00611F0B" w:rsidRPr="00C75E69" w:rsidRDefault="00611F0B" w:rsidP="00611F0B">
            <w:pPr>
              <w:pStyle w:val="ListParagraph"/>
              <w:numPr>
                <w:ilvl w:val="1"/>
                <w:numId w:val="13"/>
              </w:numPr>
              <w:jc w:val="both"/>
              <w:rPr>
                <w:rFonts w:ascii="Arial" w:hAnsi="Arial" w:cs="Arial"/>
                <w:color w:val="000000"/>
                <w:sz w:val="20"/>
                <w:szCs w:val="20"/>
                <w:lang w:val="en-GB"/>
              </w:rPr>
            </w:pPr>
            <w:r w:rsidRPr="00C75E69">
              <w:rPr>
                <w:rFonts w:ascii="Arial" w:hAnsi="Arial" w:cs="Arial"/>
                <w:color w:val="000000"/>
                <w:sz w:val="20"/>
                <w:szCs w:val="20"/>
                <w:lang w:val="en-GB"/>
              </w:rPr>
              <w:t>Solutions for scheduling collision between two parent DUs due to indication of the resource availability for soft symbol(s) to the IAB-DU(s) by DCI format 2_5</w:t>
            </w:r>
          </w:p>
          <w:p w14:paraId="72A261E1" w14:textId="77777777" w:rsidR="00611F0B" w:rsidRPr="00C75E69" w:rsidRDefault="00611F0B" w:rsidP="00611F0B">
            <w:pPr>
              <w:pStyle w:val="ListParagraph"/>
              <w:numPr>
                <w:ilvl w:val="1"/>
                <w:numId w:val="13"/>
              </w:numPr>
              <w:jc w:val="both"/>
              <w:rPr>
                <w:rFonts w:ascii="Arial" w:hAnsi="Arial" w:cs="Arial"/>
                <w:color w:val="000000"/>
                <w:sz w:val="20"/>
                <w:szCs w:val="20"/>
                <w:lang w:val="en-GB"/>
              </w:rPr>
            </w:pPr>
            <w:r w:rsidRPr="00C75E69">
              <w:rPr>
                <w:rFonts w:ascii="Arial" w:hAnsi="Arial" w:cs="Arial"/>
                <w:color w:val="000000"/>
                <w:sz w:val="20"/>
                <w:szCs w:val="20"/>
                <w:lang w:val="en-GB"/>
              </w:rPr>
              <w:t>Solutions for scheduling collision between two parent DUs due to indication of the slot format by DCI format 2_0</w:t>
            </w:r>
          </w:p>
          <w:p w14:paraId="5A91F816" w14:textId="77777777" w:rsidR="00611F0B" w:rsidRPr="00C75E69" w:rsidRDefault="00611F0B" w:rsidP="00611F0B">
            <w:pPr>
              <w:pStyle w:val="ListParagraph"/>
              <w:numPr>
                <w:ilvl w:val="1"/>
                <w:numId w:val="13"/>
              </w:numPr>
              <w:jc w:val="both"/>
              <w:rPr>
                <w:rFonts w:ascii="Arial" w:hAnsi="Arial" w:cs="Arial"/>
                <w:color w:val="000000"/>
                <w:sz w:val="20"/>
                <w:szCs w:val="20"/>
                <w:lang w:val="en-GB"/>
              </w:rPr>
            </w:pPr>
            <w:r w:rsidRPr="00C75E69">
              <w:rPr>
                <w:rFonts w:ascii="Arial" w:hAnsi="Arial" w:cs="Arial"/>
                <w:color w:val="000000"/>
                <w:sz w:val="20"/>
                <w:szCs w:val="20"/>
                <w:lang w:val="en-GB"/>
              </w:rPr>
              <w:t>FFS: Whether or not separate solutions are required for resource coordination in case of inter-donor CU multi-parent scenarios</w:t>
            </w:r>
          </w:p>
          <w:p w14:paraId="2CE74DDE" w14:textId="77777777" w:rsidR="00611F0B" w:rsidRPr="00C75E69" w:rsidRDefault="00611F0B" w:rsidP="00611F0B">
            <w:pPr>
              <w:pStyle w:val="ListParagraph"/>
              <w:numPr>
                <w:ilvl w:val="0"/>
                <w:numId w:val="15"/>
              </w:numPr>
              <w:jc w:val="both"/>
              <w:rPr>
                <w:rFonts w:ascii="Arial" w:hAnsi="Arial" w:cs="Arial"/>
                <w:color w:val="000000"/>
                <w:sz w:val="20"/>
                <w:szCs w:val="20"/>
                <w:lang w:val="en-GB"/>
              </w:rPr>
            </w:pPr>
            <w:r w:rsidRPr="00C75E69">
              <w:rPr>
                <w:rFonts w:ascii="Arial" w:hAnsi="Arial" w:cs="Arial"/>
                <w:color w:val="000000"/>
                <w:sz w:val="20"/>
                <w:szCs w:val="20"/>
                <w:lang w:val="en-GB"/>
              </w:rPr>
              <w:t>Per-backhaul link (e.g. per child IAB-MT link) resource configurations in addition to per-DU resource configurations</w:t>
            </w:r>
          </w:p>
          <w:p w14:paraId="40A30A60" w14:textId="77777777" w:rsidR="00611F0B" w:rsidRPr="00C75E69" w:rsidRDefault="00611F0B" w:rsidP="00611F0B">
            <w:pPr>
              <w:pStyle w:val="ListParagraph"/>
              <w:numPr>
                <w:ilvl w:val="0"/>
                <w:numId w:val="15"/>
              </w:numPr>
              <w:jc w:val="both"/>
              <w:rPr>
                <w:rFonts w:ascii="Arial" w:hAnsi="Arial" w:cs="Arial"/>
                <w:color w:val="000000"/>
                <w:sz w:val="20"/>
                <w:szCs w:val="20"/>
                <w:lang w:val="en-GB"/>
              </w:rPr>
            </w:pPr>
            <w:r w:rsidRPr="00C75E69">
              <w:rPr>
                <w:rFonts w:ascii="Arial" w:hAnsi="Arial" w:cs="Arial"/>
                <w:color w:val="000000"/>
                <w:sz w:val="20"/>
                <w:szCs w:val="20"/>
                <w:lang w:val="en-GB"/>
              </w:rPr>
              <w:t>FFS: Enhancements to indication of soft resource availability from child node to parent node(s)</w:t>
            </w:r>
          </w:p>
          <w:p w14:paraId="49D1DEB7" w14:textId="77777777" w:rsidR="00611F0B" w:rsidRPr="00C75E69" w:rsidRDefault="00611F0B" w:rsidP="00611F0B">
            <w:pPr>
              <w:pStyle w:val="ListParagraph"/>
              <w:numPr>
                <w:ilvl w:val="0"/>
                <w:numId w:val="15"/>
              </w:numPr>
              <w:jc w:val="both"/>
              <w:rPr>
                <w:rFonts w:ascii="Arial" w:hAnsi="Arial" w:cs="Arial"/>
                <w:color w:val="000000"/>
                <w:sz w:val="20"/>
                <w:szCs w:val="20"/>
                <w:lang w:val="en-GB"/>
              </w:rPr>
            </w:pPr>
            <w:r w:rsidRPr="00C75E69">
              <w:rPr>
                <w:rFonts w:ascii="Arial" w:hAnsi="Arial" w:cs="Arial"/>
                <w:color w:val="000000"/>
                <w:sz w:val="20"/>
                <w:szCs w:val="20"/>
                <w:lang w:val="en-GB"/>
              </w:rPr>
              <w:t>FFS: Additional restrictions on simultaneous operation and/or multiplexing</w:t>
            </w:r>
          </w:p>
          <w:p w14:paraId="1359E428" w14:textId="77777777" w:rsidR="00611F0B" w:rsidRPr="00D65E14" w:rsidRDefault="00611F0B" w:rsidP="00611F0B">
            <w:pPr>
              <w:pStyle w:val="ListParagraph"/>
              <w:numPr>
                <w:ilvl w:val="0"/>
                <w:numId w:val="15"/>
              </w:numPr>
              <w:jc w:val="both"/>
              <w:rPr>
                <w:rFonts w:ascii="Arial" w:hAnsi="Arial" w:cs="Arial"/>
                <w:color w:val="000000"/>
                <w:sz w:val="20"/>
                <w:szCs w:val="20"/>
                <w:lang w:val="en-GB"/>
              </w:rPr>
            </w:pPr>
            <w:r w:rsidRPr="00C75E69">
              <w:rPr>
                <w:rFonts w:ascii="Arial" w:hAnsi="Arial" w:cs="Arial"/>
                <w:color w:val="000000"/>
                <w:sz w:val="20"/>
                <w:szCs w:val="20"/>
                <w:lang w:val="en-GB"/>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tc>
      </w:tr>
    </w:tbl>
    <w:p w14:paraId="58FF12A4" w14:textId="77777777" w:rsidR="00611F0B" w:rsidRPr="00611F0B" w:rsidRDefault="00611F0B" w:rsidP="006740AE">
      <w:pPr>
        <w:jc w:val="both"/>
        <w:rPr>
          <w:lang w:val="en-GB" w:eastAsia="ja-JP"/>
        </w:rPr>
      </w:pPr>
    </w:p>
    <w:p w14:paraId="1384C410" w14:textId="4D8A77EA" w:rsidR="00442119" w:rsidRPr="00877A84" w:rsidRDefault="00442119" w:rsidP="00872BF6">
      <w:pPr>
        <w:jc w:val="both"/>
        <w:rPr>
          <w:rFonts w:ascii="Arial" w:hAnsi="Arial" w:cs="Arial"/>
          <w:sz w:val="20"/>
          <w:szCs w:val="20"/>
          <w:lang w:val="en-GB"/>
        </w:rPr>
      </w:pPr>
      <w:r w:rsidRPr="00877A84">
        <w:rPr>
          <w:rFonts w:ascii="Arial" w:hAnsi="Arial" w:cs="Arial"/>
          <w:sz w:val="20"/>
          <w:szCs w:val="20"/>
          <w:lang w:val="en-GB"/>
        </w:rPr>
        <w:t>In RAN1 #104</w:t>
      </w:r>
      <w:r w:rsidR="00D108B4">
        <w:rPr>
          <w:rFonts w:ascii="Arial" w:hAnsi="Arial" w:cs="Arial"/>
          <w:sz w:val="20"/>
          <w:szCs w:val="20"/>
          <w:lang w:val="en-GB"/>
        </w:rPr>
        <w:t>bis-e</w:t>
      </w:r>
      <w:r w:rsidRPr="00877A84">
        <w:rPr>
          <w:rFonts w:ascii="Arial" w:hAnsi="Arial" w:cs="Arial"/>
          <w:sz w:val="20"/>
          <w:szCs w:val="20"/>
          <w:lang w:val="en-GB"/>
        </w:rPr>
        <w:t xml:space="preserve">, the following </w:t>
      </w:r>
      <w:r w:rsidR="00A00B1D">
        <w:rPr>
          <w:rFonts w:ascii="Arial" w:hAnsi="Arial" w:cs="Arial"/>
          <w:sz w:val="20"/>
          <w:szCs w:val="20"/>
          <w:lang w:val="en-GB"/>
        </w:rPr>
        <w:t>agreement was reached</w:t>
      </w:r>
      <w:r w:rsidR="00776DBB" w:rsidRPr="00776DBB">
        <w:rPr>
          <w:rFonts w:ascii="Arial" w:hAnsi="Arial" w:cs="Arial"/>
          <w:sz w:val="20"/>
          <w:szCs w:val="20"/>
          <w:lang w:val="en-GB"/>
        </w:rPr>
        <w:t xml:space="preserve"> </w:t>
      </w:r>
      <w:r w:rsidR="00776DBB">
        <w:rPr>
          <w:rFonts w:ascii="Arial" w:hAnsi="Arial" w:cs="Arial"/>
          <w:sz w:val="20"/>
          <w:szCs w:val="20"/>
          <w:lang w:val="en-GB"/>
        </w:rPr>
        <w:fldChar w:fldCharType="begin"/>
      </w:r>
      <w:r w:rsidR="00776DBB">
        <w:rPr>
          <w:rFonts w:ascii="Arial" w:hAnsi="Arial" w:cs="Arial"/>
          <w:sz w:val="20"/>
          <w:szCs w:val="20"/>
          <w:lang w:val="en-GB"/>
        </w:rPr>
        <w:instrText xml:space="preserve"> REF _Ref70195782 \r \h </w:instrText>
      </w:r>
      <w:r w:rsidR="006740AE">
        <w:rPr>
          <w:rFonts w:ascii="Arial" w:hAnsi="Arial" w:cs="Arial"/>
          <w:sz w:val="20"/>
          <w:szCs w:val="20"/>
          <w:lang w:val="en-GB"/>
        </w:rPr>
        <w:instrText xml:space="preserve"> \* MERGEFORMAT </w:instrText>
      </w:r>
      <w:r w:rsidR="00776DBB">
        <w:rPr>
          <w:rFonts w:ascii="Arial" w:hAnsi="Arial" w:cs="Arial"/>
          <w:sz w:val="20"/>
          <w:szCs w:val="20"/>
          <w:lang w:val="en-GB"/>
        </w:rPr>
      </w:r>
      <w:r w:rsidR="00776DBB">
        <w:rPr>
          <w:rFonts w:ascii="Arial" w:hAnsi="Arial" w:cs="Arial"/>
          <w:sz w:val="20"/>
          <w:szCs w:val="20"/>
          <w:lang w:val="en-GB"/>
        </w:rPr>
        <w:fldChar w:fldCharType="separate"/>
      </w:r>
      <w:r w:rsidR="00301FA3">
        <w:rPr>
          <w:rFonts w:ascii="Arial" w:hAnsi="Arial" w:cs="Arial"/>
          <w:sz w:val="20"/>
          <w:szCs w:val="20"/>
          <w:lang w:val="en-GB"/>
        </w:rPr>
        <w:t>[4]</w:t>
      </w:r>
      <w:r w:rsidR="00776DBB">
        <w:rPr>
          <w:rFonts w:ascii="Arial" w:hAnsi="Arial" w:cs="Arial"/>
          <w:sz w:val="20"/>
          <w:szCs w:val="20"/>
          <w:lang w:val="en-GB"/>
        </w:rPr>
        <w:fldChar w:fldCharType="end"/>
      </w:r>
      <w:r w:rsidRPr="00877A84">
        <w:rPr>
          <w:rFonts w:ascii="Arial" w:hAnsi="Arial" w:cs="Arial"/>
          <w:sz w:val="20"/>
          <w:szCs w:val="20"/>
          <w:lang w:val="en-GB"/>
        </w:rPr>
        <w:t>:</w:t>
      </w:r>
    </w:p>
    <w:tbl>
      <w:tblPr>
        <w:tblStyle w:val="TableGrid"/>
        <w:tblW w:w="0" w:type="auto"/>
        <w:tblLook w:val="04A0" w:firstRow="1" w:lastRow="0" w:firstColumn="1" w:lastColumn="0" w:noHBand="0" w:noVBand="1"/>
      </w:tblPr>
      <w:tblGrid>
        <w:gridCol w:w="9629"/>
      </w:tblGrid>
      <w:tr w:rsidR="00442119" w:rsidRPr="00685470" w14:paraId="48EAA607" w14:textId="77777777" w:rsidTr="00EE6BB3">
        <w:tc>
          <w:tcPr>
            <w:tcW w:w="9629" w:type="dxa"/>
          </w:tcPr>
          <w:p w14:paraId="0CC4E49B" w14:textId="77777777" w:rsidR="00442119" w:rsidRPr="00C75E69" w:rsidRDefault="00442119" w:rsidP="00872BF6">
            <w:pPr>
              <w:contextualSpacing/>
              <w:jc w:val="both"/>
              <w:rPr>
                <w:rFonts w:ascii="Arial" w:hAnsi="Arial" w:cs="Arial"/>
                <w:color w:val="000000"/>
                <w:sz w:val="20"/>
                <w:szCs w:val="20"/>
                <w:lang w:val="en-GB"/>
              </w:rPr>
            </w:pPr>
            <w:r w:rsidRPr="00C75E69">
              <w:rPr>
                <w:rFonts w:ascii="Arial" w:hAnsi="Arial" w:cs="Arial"/>
                <w:b/>
                <w:bCs/>
                <w:color w:val="000000"/>
                <w:sz w:val="20"/>
                <w:szCs w:val="20"/>
                <w:highlight w:val="green"/>
                <w:lang w:val="en-GB"/>
              </w:rPr>
              <w:t>Agreement</w:t>
            </w:r>
          </w:p>
          <w:p w14:paraId="6F2761CA" w14:textId="77777777" w:rsidR="00442119" w:rsidRPr="00C75E69" w:rsidRDefault="00442119" w:rsidP="00872BF6">
            <w:pPr>
              <w:contextualSpacing/>
              <w:jc w:val="both"/>
              <w:rPr>
                <w:rFonts w:ascii="Arial" w:hAnsi="Arial" w:cs="Arial"/>
                <w:color w:val="000000"/>
                <w:sz w:val="20"/>
                <w:szCs w:val="20"/>
                <w:lang w:val="en-GB"/>
              </w:rPr>
            </w:pPr>
          </w:p>
          <w:p w14:paraId="0A374451" w14:textId="77777777" w:rsidR="00C96BC8" w:rsidRPr="00C96BC8" w:rsidRDefault="00C96BC8" w:rsidP="00C96BC8">
            <w:pPr>
              <w:contextualSpacing/>
              <w:jc w:val="both"/>
              <w:rPr>
                <w:rFonts w:ascii="Arial" w:hAnsi="Arial" w:cs="Arial"/>
                <w:color w:val="000000"/>
                <w:sz w:val="20"/>
                <w:szCs w:val="20"/>
                <w:lang w:val="en-GB"/>
              </w:rPr>
            </w:pPr>
            <w:r w:rsidRPr="00C96BC8">
              <w:rPr>
                <w:rFonts w:ascii="Arial" w:hAnsi="Arial" w:cs="Arial"/>
                <w:color w:val="000000"/>
                <w:sz w:val="20"/>
                <w:szCs w:val="20"/>
                <w:lang w:val="en-GB"/>
              </w:rPr>
              <w:t>The following enhancements to support intra-band inter-carrier dual connectivity for both inter-donor and intra-donor scenarios are considered (in addition to reusing solutions for inter-band dual connectivity) to support simultaneous Tx and/or Rx at the child IAB-MT to/from both parent links:</w:t>
            </w:r>
          </w:p>
          <w:p w14:paraId="0544855C" w14:textId="7085DE09" w:rsidR="00C96BC8" w:rsidRPr="00C96BC8" w:rsidRDefault="00C96BC8" w:rsidP="00C96BC8">
            <w:pPr>
              <w:numPr>
                <w:ilvl w:val="0"/>
                <w:numId w:val="15"/>
              </w:numPr>
              <w:contextualSpacing/>
              <w:jc w:val="both"/>
              <w:rPr>
                <w:rFonts w:ascii="Arial" w:hAnsi="Arial" w:cs="Arial"/>
                <w:color w:val="000000"/>
                <w:sz w:val="20"/>
                <w:szCs w:val="20"/>
                <w:lang w:val="en-GB"/>
              </w:rPr>
            </w:pPr>
            <w:r w:rsidRPr="00C96BC8">
              <w:rPr>
                <w:rFonts w:ascii="Arial" w:hAnsi="Arial" w:cs="Arial"/>
                <w:color w:val="000000"/>
                <w:sz w:val="20"/>
                <w:szCs w:val="20"/>
                <w:lang w:val="en-GB"/>
              </w:rPr>
              <w:t>Extending the Rel-16 CA TDD conflict resolution framework for synchronous</w:t>
            </w:r>
            <w:r>
              <w:rPr>
                <w:rFonts w:ascii="Arial" w:hAnsi="Arial" w:cs="Arial"/>
                <w:color w:val="000000"/>
                <w:sz w:val="20"/>
                <w:szCs w:val="20"/>
                <w:lang w:val="en-GB"/>
              </w:rPr>
              <w:t xml:space="preserve"> intra-band NR-DC</w:t>
            </w:r>
          </w:p>
          <w:p w14:paraId="0C9AC2D5" w14:textId="77777777" w:rsidR="00442119" w:rsidRDefault="00C96BC8" w:rsidP="00C96BC8">
            <w:pPr>
              <w:numPr>
                <w:ilvl w:val="0"/>
                <w:numId w:val="15"/>
              </w:numPr>
              <w:contextualSpacing/>
              <w:jc w:val="both"/>
              <w:rPr>
                <w:rFonts w:ascii="Arial" w:hAnsi="Arial" w:cs="Arial"/>
                <w:color w:val="000000"/>
                <w:sz w:val="20"/>
                <w:szCs w:val="20"/>
                <w:lang w:val="en-GB"/>
              </w:rPr>
            </w:pPr>
            <w:r w:rsidRPr="00C96BC8">
              <w:rPr>
                <w:rFonts w:ascii="Arial" w:hAnsi="Arial" w:cs="Arial"/>
                <w:color w:val="000000"/>
                <w:sz w:val="20"/>
                <w:szCs w:val="20"/>
                <w:lang w:val="en-GB"/>
              </w:rPr>
              <w:t>Coordinating TDD configurations for the parent nodes (for both intra-donor and inter-donor operation) and coordinating H/S/NA configurations for the child node between donors (at least for inter-donor operation)</w:t>
            </w:r>
          </w:p>
          <w:p w14:paraId="7F5112B1" w14:textId="77777777" w:rsidR="00A00B1D" w:rsidRDefault="00A00B1D" w:rsidP="00A00B1D">
            <w:pPr>
              <w:contextualSpacing/>
              <w:jc w:val="both"/>
              <w:rPr>
                <w:rFonts w:ascii="Arial" w:hAnsi="Arial" w:cs="Arial"/>
                <w:color w:val="000000"/>
                <w:sz w:val="20"/>
                <w:szCs w:val="20"/>
                <w:lang w:val="en-GB"/>
              </w:rPr>
            </w:pPr>
          </w:p>
          <w:p w14:paraId="59104909" w14:textId="77777777" w:rsidR="00A00B1D" w:rsidRDefault="00A00B1D" w:rsidP="00A00B1D">
            <w:pPr>
              <w:contextualSpacing/>
              <w:jc w:val="both"/>
              <w:rPr>
                <w:rFonts w:ascii="Arial" w:hAnsi="Arial" w:cs="Arial"/>
                <w:color w:val="000000"/>
                <w:sz w:val="20"/>
                <w:szCs w:val="20"/>
                <w:lang w:val="en-GB"/>
              </w:rPr>
            </w:pPr>
          </w:p>
          <w:p w14:paraId="77D7C0E3" w14:textId="77777777" w:rsidR="00A00B1D" w:rsidRPr="004C38A4" w:rsidRDefault="00A00B1D" w:rsidP="006740AE">
            <w:pPr>
              <w:jc w:val="both"/>
              <w:rPr>
                <w:rFonts w:ascii="Arial" w:hAnsi="Arial" w:cs="Arial"/>
                <w:sz w:val="20"/>
                <w:szCs w:val="20"/>
                <w:lang w:val="en-GB" w:eastAsia="ko-KR"/>
              </w:rPr>
            </w:pPr>
            <w:r w:rsidRPr="00A00B1D">
              <w:rPr>
                <w:rFonts w:ascii="Arial" w:hAnsi="Arial" w:cs="Arial"/>
                <w:b/>
                <w:bCs/>
                <w:sz w:val="20"/>
                <w:szCs w:val="20"/>
                <w:lang w:val="en-GB"/>
              </w:rPr>
              <w:t xml:space="preserve">Conclusion </w:t>
            </w:r>
          </w:p>
          <w:p w14:paraId="2B0FC245" w14:textId="77777777" w:rsidR="00A00B1D" w:rsidRPr="00A00B1D" w:rsidRDefault="00A00B1D" w:rsidP="006740AE">
            <w:pPr>
              <w:jc w:val="both"/>
              <w:rPr>
                <w:rFonts w:ascii="Arial" w:hAnsi="Arial" w:cs="Arial"/>
                <w:sz w:val="20"/>
                <w:szCs w:val="20"/>
                <w:lang w:val="en-GB"/>
              </w:rPr>
            </w:pPr>
            <w:r w:rsidRPr="00A00B1D">
              <w:rPr>
                <w:rFonts w:ascii="Arial" w:hAnsi="Arial" w:cs="Arial"/>
                <w:sz w:val="20"/>
                <w:szCs w:val="20"/>
                <w:lang w:val="en-GB"/>
              </w:rPr>
              <w:t>RAN1 observations on Rel-16 IAB: </w:t>
            </w:r>
          </w:p>
          <w:p w14:paraId="169CAA02" w14:textId="77777777" w:rsidR="00A00B1D" w:rsidRPr="00A00B1D" w:rsidRDefault="00A00B1D" w:rsidP="00A00B1D">
            <w:pPr>
              <w:numPr>
                <w:ilvl w:val="0"/>
                <w:numId w:val="30"/>
              </w:numPr>
              <w:jc w:val="both"/>
              <w:rPr>
                <w:rFonts w:ascii="Arial" w:eastAsia="Times New Roman" w:hAnsi="Arial" w:cs="Arial"/>
                <w:sz w:val="20"/>
                <w:szCs w:val="20"/>
                <w:lang w:val="en-GB"/>
              </w:rPr>
            </w:pPr>
            <w:r w:rsidRPr="00A00B1D">
              <w:rPr>
                <w:rFonts w:ascii="Arial" w:eastAsia="Times New Roman" w:hAnsi="Arial" w:cs="Arial"/>
                <w:sz w:val="20"/>
                <w:szCs w:val="20"/>
                <w:lang w:val="en-GB"/>
              </w:rPr>
              <w:lastRenderedPageBreak/>
              <w:t xml:space="preserve">The RAN1#98: “The H/S/NA attributes for the per-cell DU resource configuration should take into account the associated MT carrier frequency(ies)” is not </w:t>
            </w:r>
            <w:r w:rsidRPr="00A00B1D">
              <w:rPr>
                <w:rFonts w:ascii="Arial" w:eastAsia="Times New Roman" w:hAnsi="Arial" w:cs="Arial"/>
                <w:sz w:val="20"/>
                <w:szCs w:val="20"/>
                <w:u w:val="single"/>
                <w:lang w:val="en-GB"/>
              </w:rPr>
              <w:t>explicitly</w:t>
            </w:r>
            <w:r w:rsidRPr="00A00B1D">
              <w:rPr>
                <w:rFonts w:ascii="Arial" w:eastAsia="Times New Roman" w:hAnsi="Arial" w:cs="Arial"/>
                <w:sz w:val="20"/>
                <w:szCs w:val="20"/>
                <w:lang w:val="en-GB"/>
              </w:rPr>
              <w:t xml:space="preserve"> captured in either RAN1 or RAN3 specifications. </w:t>
            </w:r>
          </w:p>
          <w:p w14:paraId="1332D982" w14:textId="77777777" w:rsidR="00A00B1D" w:rsidRPr="00A00B1D" w:rsidRDefault="00A00B1D" w:rsidP="00A00B1D">
            <w:pPr>
              <w:numPr>
                <w:ilvl w:val="0"/>
                <w:numId w:val="30"/>
              </w:numPr>
              <w:spacing w:before="60"/>
              <w:contextualSpacing/>
              <w:jc w:val="both"/>
              <w:rPr>
                <w:rFonts w:ascii="Arial" w:eastAsia="Times New Roman" w:hAnsi="Arial" w:cs="Arial"/>
                <w:sz w:val="20"/>
                <w:szCs w:val="20"/>
                <w:lang w:val="en-GB"/>
              </w:rPr>
            </w:pPr>
            <w:r w:rsidRPr="00A00B1D">
              <w:rPr>
                <w:rFonts w:ascii="Arial" w:eastAsia="Times New Roman" w:hAnsi="Arial" w:cs="Arial"/>
                <w:sz w:val="20"/>
                <w:szCs w:val="20"/>
                <w:lang w:val="en-GB"/>
              </w:rPr>
              <w:t>It is RAN1’s common understanding that the following interpretation of 38.213 captures the intended behavior in the usage of soft resources configured for a given IAB-DU cell in case the IAB-DU cell and IAB-MT CC are not on the same carrier frequency:</w:t>
            </w:r>
          </w:p>
          <w:p w14:paraId="42660FB3" w14:textId="166F8E40" w:rsidR="00A00B1D" w:rsidRPr="00A00B1D" w:rsidRDefault="00E20343" w:rsidP="00A00B1D">
            <w:pPr>
              <w:pStyle w:val="ListParagraph"/>
              <w:spacing w:before="60" w:after="120"/>
              <w:ind w:left="800"/>
              <w:contextualSpacing/>
              <w:jc w:val="both"/>
              <w:rPr>
                <w:rFonts w:eastAsia="Malgun Gothic" w:cs="Calibri"/>
              </w:rPr>
            </w:pPr>
            <w:r>
              <w:rPr>
                <w:noProof/>
              </w:rPr>
              <w:drawing>
                <wp:inline distT="0" distB="0" distL="0" distR="0" wp14:anchorId="037DCD49" wp14:editId="3D861B40">
                  <wp:extent cx="4485236" cy="1747520"/>
                  <wp:effectExtent l="0" t="0" r="0" b="5080"/>
                  <wp:docPr id="3" name="Picture 3"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485236" cy="1747520"/>
                          </a:xfrm>
                          <a:prstGeom prst="rect">
                            <a:avLst/>
                          </a:prstGeom>
                        </pic:spPr>
                      </pic:pic>
                    </a:graphicData>
                  </a:graphic>
                </wp:inline>
              </w:drawing>
            </w:r>
          </w:p>
          <w:p w14:paraId="607515AD" w14:textId="77777777" w:rsidR="00A00B1D" w:rsidRPr="00A00B1D" w:rsidRDefault="00A00B1D" w:rsidP="006740AE">
            <w:pPr>
              <w:jc w:val="both"/>
              <w:rPr>
                <w:rFonts w:ascii="Arial" w:hAnsi="Arial" w:cs="Arial"/>
                <w:sz w:val="20"/>
                <w:szCs w:val="20"/>
                <w:lang w:val="en-GB"/>
              </w:rPr>
            </w:pPr>
            <w:r w:rsidRPr="00A00B1D">
              <w:rPr>
                <w:rFonts w:ascii="Arial" w:hAnsi="Arial" w:cs="Arial"/>
                <w:b/>
                <w:bCs/>
                <w:sz w:val="20"/>
                <w:szCs w:val="20"/>
                <w:highlight w:val="green"/>
                <w:lang w:val="en-GB"/>
              </w:rPr>
              <w:t>Agreement</w:t>
            </w:r>
            <w:r w:rsidRPr="00A00B1D">
              <w:rPr>
                <w:rFonts w:ascii="Arial" w:hAnsi="Arial" w:cs="Arial"/>
                <w:b/>
                <w:bCs/>
                <w:sz w:val="20"/>
                <w:szCs w:val="20"/>
                <w:lang w:val="en-GB"/>
              </w:rPr>
              <w:t xml:space="preserve"> </w:t>
            </w:r>
          </w:p>
          <w:p w14:paraId="06CD6AEA" w14:textId="77777777" w:rsidR="00A00B1D" w:rsidRPr="00A00B1D" w:rsidRDefault="00A00B1D" w:rsidP="006740AE">
            <w:pPr>
              <w:jc w:val="both"/>
              <w:rPr>
                <w:rFonts w:ascii="Arial" w:hAnsi="Arial" w:cs="Arial"/>
                <w:sz w:val="20"/>
                <w:szCs w:val="20"/>
              </w:rPr>
            </w:pPr>
            <w:r w:rsidRPr="00A00B1D">
              <w:rPr>
                <w:rFonts w:ascii="Arial" w:hAnsi="Arial" w:cs="Arial"/>
                <w:sz w:val="20"/>
                <w:szCs w:val="20"/>
                <w:lang w:val="en-GB"/>
              </w:rPr>
              <w:t xml:space="preserve">Inform RAN3 that based on the above observations, providing H/S/NA slot configurations per (IAB-DU cell, collocated IAB-MT’s serving cell) pair is not necessary in Rel-16 and the existing per IAB-DU cell granularity is sufficient. </w:t>
            </w:r>
            <w:r w:rsidRPr="00A00B1D">
              <w:rPr>
                <w:rFonts w:ascii="Arial" w:hAnsi="Arial" w:cs="Arial"/>
                <w:sz w:val="20"/>
                <w:szCs w:val="20"/>
              </w:rPr>
              <w:t>LS is endorsed in R1-2104058.</w:t>
            </w:r>
          </w:p>
          <w:p w14:paraId="5544BBEF" w14:textId="2E99B061" w:rsidR="00A00B1D" w:rsidRPr="00C96BC8" w:rsidRDefault="00A00B1D" w:rsidP="00A00B1D">
            <w:pPr>
              <w:contextualSpacing/>
              <w:jc w:val="both"/>
              <w:rPr>
                <w:rFonts w:ascii="Arial" w:hAnsi="Arial" w:cs="Arial"/>
                <w:color w:val="000000"/>
                <w:sz w:val="20"/>
                <w:szCs w:val="20"/>
                <w:lang w:val="en-GB"/>
              </w:rPr>
            </w:pPr>
          </w:p>
        </w:tc>
      </w:tr>
    </w:tbl>
    <w:p w14:paraId="6EAF94A2" w14:textId="76E2A0BE" w:rsidR="00310322" w:rsidRPr="00C75E69" w:rsidRDefault="00310322" w:rsidP="00872BF6">
      <w:pPr>
        <w:pStyle w:val="Heading2"/>
        <w:jc w:val="both"/>
      </w:pPr>
      <w:r w:rsidRPr="00C75E69">
        <w:lastRenderedPageBreak/>
        <w:t xml:space="preserve">DCI </w:t>
      </w:r>
      <w:r w:rsidR="001F55E9">
        <w:t xml:space="preserve">format </w:t>
      </w:r>
      <w:r w:rsidRPr="00C75E69">
        <w:t>2_5 in multi-parent scenario</w:t>
      </w:r>
    </w:p>
    <w:p w14:paraId="75147C4E" w14:textId="6CD10337" w:rsidR="00310322" w:rsidRPr="007D2CFB" w:rsidRDefault="00310322" w:rsidP="00C96BC8">
      <w:pPr>
        <w:jc w:val="both"/>
        <w:rPr>
          <w:rFonts w:ascii="Arial" w:hAnsi="Arial" w:cs="Arial"/>
          <w:sz w:val="20"/>
          <w:szCs w:val="20"/>
          <w:lang w:val="en-GB"/>
        </w:rPr>
      </w:pPr>
      <w:r w:rsidRPr="007D2CFB">
        <w:rPr>
          <w:rFonts w:ascii="Arial" w:hAnsi="Arial" w:cs="Arial"/>
          <w:sz w:val="20"/>
          <w:szCs w:val="20"/>
          <w:lang w:val="en-GB"/>
        </w:rPr>
        <w:t>In Rel-16 IAB</w:t>
      </w:r>
      <w:r w:rsidR="00A3392E" w:rsidRPr="007D2CFB">
        <w:rPr>
          <w:rFonts w:ascii="Arial" w:hAnsi="Arial" w:cs="Arial"/>
          <w:sz w:val="20"/>
          <w:szCs w:val="20"/>
          <w:lang w:val="en-GB"/>
        </w:rPr>
        <w:t xml:space="preserve"> t</w:t>
      </w:r>
      <w:r w:rsidRPr="007D2CFB">
        <w:rPr>
          <w:rFonts w:ascii="Arial" w:hAnsi="Arial" w:cs="Arial"/>
          <w:sz w:val="20"/>
          <w:szCs w:val="20"/>
          <w:lang w:val="en-GB"/>
        </w:rPr>
        <w:t>he explicit indication</w:t>
      </w:r>
      <w:r w:rsidR="00A3392E" w:rsidRPr="007D2CFB">
        <w:rPr>
          <w:rFonts w:ascii="Arial" w:hAnsi="Arial" w:cs="Arial"/>
          <w:sz w:val="20"/>
          <w:szCs w:val="20"/>
          <w:lang w:val="en-GB"/>
        </w:rPr>
        <w:t xml:space="preserve"> </w:t>
      </w:r>
      <w:r w:rsidRPr="007D2CFB">
        <w:rPr>
          <w:rFonts w:ascii="Arial" w:hAnsi="Arial" w:cs="Arial"/>
          <w:sz w:val="20"/>
          <w:szCs w:val="20"/>
          <w:lang w:val="en-GB"/>
        </w:rPr>
        <w:t xml:space="preserve">uses DCI </w:t>
      </w:r>
      <w:r w:rsidR="001F55E9">
        <w:rPr>
          <w:rFonts w:ascii="Arial" w:hAnsi="Arial" w:cs="Arial"/>
          <w:sz w:val="20"/>
          <w:szCs w:val="20"/>
          <w:lang w:val="en-GB"/>
        </w:rPr>
        <w:t>f</w:t>
      </w:r>
      <w:r w:rsidRPr="007D2CFB">
        <w:rPr>
          <w:rFonts w:ascii="Arial" w:hAnsi="Arial" w:cs="Arial"/>
          <w:sz w:val="20"/>
          <w:szCs w:val="20"/>
          <w:lang w:val="en-GB"/>
        </w:rPr>
        <w:t xml:space="preserve">ormat 2_5 for dynamically indicating the availability of </w:t>
      </w:r>
      <w:r w:rsidR="00372F40" w:rsidRPr="007D2CFB">
        <w:rPr>
          <w:rFonts w:ascii="Arial" w:hAnsi="Arial" w:cs="Arial"/>
          <w:sz w:val="20"/>
          <w:szCs w:val="20"/>
          <w:lang w:val="en-GB"/>
        </w:rPr>
        <w:t>IAB-</w:t>
      </w:r>
      <w:r w:rsidRPr="007D2CFB">
        <w:rPr>
          <w:rFonts w:ascii="Arial" w:hAnsi="Arial" w:cs="Arial"/>
          <w:sz w:val="20"/>
          <w:szCs w:val="20"/>
          <w:lang w:val="en-GB"/>
        </w:rPr>
        <w:t>DU Soft</w:t>
      </w:r>
      <w:r w:rsidR="00A3392E" w:rsidRPr="007D2CFB">
        <w:rPr>
          <w:rFonts w:ascii="Arial" w:hAnsi="Arial" w:cs="Arial"/>
          <w:sz w:val="20"/>
          <w:szCs w:val="20"/>
          <w:lang w:val="en-GB"/>
        </w:rPr>
        <w:t xml:space="preserve"> time</w:t>
      </w:r>
      <w:r w:rsidRPr="007D2CFB">
        <w:rPr>
          <w:rFonts w:ascii="Arial" w:hAnsi="Arial" w:cs="Arial"/>
          <w:sz w:val="20"/>
          <w:szCs w:val="20"/>
          <w:lang w:val="en-GB"/>
        </w:rPr>
        <w:t xml:space="preserve"> resource in a slot. For multi-parent nodes operating in inter-carrier DC, different parent nodes communicate with the IAB-MT using different component carriers.</w:t>
      </w:r>
      <w:r w:rsidR="005B2AE6" w:rsidRPr="007D2CFB">
        <w:rPr>
          <w:rFonts w:ascii="Arial" w:hAnsi="Arial" w:cs="Arial"/>
          <w:sz w:val="20"/>
          <w:szCs w:val="20"/>
          <w:lang w:val="en-GB"/>
        </w:rPr>
        <w:t xml:space="preserve"> This means</w:t>
      </w:r>
      <w:r w:rsidRPr="007D2CFB">
        <w:rPr>
          <w:rFonts w:ascii="Arial" w:hAnsi="Arial" w:cs="Arial"/>
          <w:sz w:val="20"/>
          <w:szCs w:val="20"/>
          <w:lang w:val="en-GB"/>
        </w:rPr>
        <w:t>,</w:t>
      </w:r>
      <w:r w:rsidR="00B47574" w:rsidRPr="007D2CFB">
        <w:rPr>
          <w:rFonts w:ascii="Arial" w:hAnsi="Arial" w:cs="Arial"/>
          <w:sz w:val="20"/>
          <w:szCs w:val="20"/>
          <w:lang w:val="en-GB"/>
        </w:rPr>
        <w:t xml:space="preserve"> the</w:t>
      </w:r>
      <w:r w:rsidRPr="007D2CFB">
        <w:rPr>
          <w:rFonts w:ascii="Arial" w:hAnsi="Arial" w:cs="Arial"/>
          <w:sz w:val="20"/>
          <w:szCs w:val="20"/>
          <w:lang w:val="en-GB"/>
        </w:rPr>
        <w:t xml:space="preserve"> parent nodes can signal DCI </w:t>
      </w:r>
      <w:r w:rsidR="001F55E9">
        <w:rPr>
          <w:rFonts w:ascii="Arial" w:hAnsi="Arial" w:cs="Arial"/>
          <w:sz w:val="20"/>
          <w:szCs w:val="20"/>
          <w:lang w:val="en-GB"/>
        </w:rPr>
        <w:t xml:space="preserve">format </w:t>
      </w:r>
      <w:r w:rsidRPr="007D2CFB">
        <w:rPr>
          <w:rFonts w:ascii="Arial" w:hAnsi="Arial" w:cs="Arial"/>
          <w:sz w:val="20"/>
          <w:szCs w:val="20"/>
          <w:lang w:val="en-GB"/>
        </w:rPr>
        <w:t>2_5 to the IAB-MT independently</w:t>
      </w:r>
      <w:r w:rsidR="001A199A" w:rsidRPr="007D2CFB">
        <w:rPr>
          <w:rFonts w:ascii="Arial" w:hAnsi="Arial" w:cs="Arial"/>
          <w:sz w:val="20"/>
          <w:szCs w:val="20"/>
          <w:lang w:val="en-GB"/>
        </w:rPr>
        <w:t>, without coordinati</w:t>
      </w:r>
      <w:r w:rsidR="00846F6F" w:rsidRPr="007D2CFB">
        <w:rPr>
          <w:rFonts w:ascii="Arial" w:hAnsi="Arial" w:cs="Arial"/>
          <w:sz w:val="20"/>
          <w:szCs w:val="20"/>
          <w:lang w:val="en-GB"/>
        </w:rPr>
        <w:t>ng</w:t>
      </w:r>
      <w:r w:rsidR="001A199A" w:rsidRPr="007D2CFB">
        <w:rPr>
          <w:rFonts w:ascii="Arial" w:hAnsi="Arial" w:cs="Arial"/>
          <w:sz w:val="20"/>
          <w:szCs w:val="20"/>
          <w:lang w:val="en-GB"/>
        </w:rPr>
        <w:t xml:space="preserve"> </w:t>
      </w:r>
      <w:r w:rsidR="005B631B" w:rsidRPr="007D2CFB">
        <w:rPr>
          <w:rFonts w:ascii="Arial" w:hAnsi="Arial" w:cs="Arial"/>
          <w:sz w:val="20"/>
          <w:szCs w:val="20"/>
          <w:lang w:val="en-GB"/>
        </w:rPr>
        <w:t xml:space="preserve">between </w:t>
      </w:r>
      <w:r w:rsidR="00976F18" w:rsidRPr="007D2CFB">
        <w:rPr>
          <w:rFonts w:ascii="Arial" w:hAnsi="Arial" w:cs="Arial"/>
          <w:sz w:val="20"/>
          <w:szCs w:val="20"/>
          <w:lang w:val="en-GB"/>
        </w:rPr>
        <w:t>parent nodes</w:t>
      </w:r>
      <w:r w:rsidRPr="007D2CFB">
        <w:rPr>
          <w:rFonts w:ascii="Arial" w:hAnsi="Arial" w:cs="Arial"/>
          <w:sz w:val="20"/>
          <w:szCs w:val="20"/>
          <w:lang w:val="en-GB"/>
        </w:rPr>
        <w:t>.</w:t>
      </w:r>
    </w:p>
    <w:p w14:paraId="2DF1B3B3" w14:textId="44990F25" w:rsidR="00310322" w:rsidRPr="007D2CFB" w:rsidRDefault="009066C9" w:rsidP="00872BF6">
      <w:pPr>
        <w:jc w:val="both"/>
        <w:rPr>
          <w:rFonts w:ascii="Arial" w:hAnsi="Arial" w:cs="Arial"/>
          <w:sz w:val="20"/>
          <w:szCs w:val="20"/>
          <w:lang w:val="en-GB"/>
        </w:rPr>
      </w:pPr>
      <w:r w:rsidRPr="007D2CFB">
        <w:rPr>
          <w:rFonts w:ascii="Arial" w:hAnsi="Arial" w:cs="Arial"/>
          <w:sz w:val="20"/>
          <w:szCs w:val="20"/>
        </w:rPr>
        <w:fldChar w:fldCharType="begin"/>
      </w:r>
      <w:r w:rsidRPr="007D2CFB">
        <w:rPr>
          <w:rFonts w:ascii="Arial" w:hAnsi="Arial" w:cs="Arial"/>
          <w:sz w:val="20"/>
          <w:szCs w:val="20"/>
          <w:lang w:val="en-GB"/>
        </w:rPr>
        <w:instrText xml:space="preserve"> REF _Ref67306663 \h </w:instrText>
      </w:r>
      <w:r w:rsidR="00872BF6" w:rsidRPr="007D2CFB">
        <w:rPr>
          <w:rFonts w:ascii="Arial" w:hAnsi="Arial" w:cs="Arial"/>
          <w:sz w:val="20"/>
          <w:szCs w:val="20"/>
          <w:lang w:val="en-GB"/>
        </w:rPr>
        <w:instrText xml:space="preserve"> \* MERGEFORMAT </w:instrText>
      </w:r>
      <w:r w:rsidRPr="007D2CFB">
        <w:rPr>
          <w:rFonts w:ascii="Arial" w:hAnsi="Arial" w:cs="Arial"/>
          <w:sz w:val="20"/>
          <w:szCs w:val="20"/>
        </w:rPr>
      </w:r>
      <w:r w:rsidRPr="007D2CFB">
        <w:rPr>
          <w:rFonts w:ascii="Arial" w:hAnsi="Arial" w:cs="Arial"/>
          <w:sz w:val="20"/>
          <w:szCs w:val="20"/>
        </w:rPr>
        <w:fldChar w:fldCharType="separate"/>
      </w:r>
      <w:r w:rsidR="00301FA3" w:rsidRPr="00301FA3">
        <w:rPr>
          <w:rFonts w:ascii="Arial" w:hAnsi="Arial" w:cs="Arial"/>
          <w:lang w:val="en-GB"/>
        </w:rPr>
        <w:t xml:space="preserve">Figure </w:t>
      </w:r>
      <w:r w:rsidR="00301FA3" w:rsidRPr="00301FA3">
        <w:rPr>
          <w:rFonts w:ascii="Arial" w:hAnsi="Arial" w:cs="Arial"/>
          <w:noProof/>
          <w:lang w:val="en-GB"/>
        </w:rPr>
        <w:t>5</w:t>
      </w:r>
      <w:r w:rsidRPr="007D2CFB">
        <w:rPr>
          <w:rFonts w:ascii="Arial" w:hAnsi="Arial" w:cs="Arial"/>
          <w:sz w:val="20"/>
          <w:szCs w:val="20"/>
        </w:rPr>
        <w:fldChar w:fldCharType="end"/>
      </w:r>
      <w:r w:rsidRPr="007D2CFB">
        <w:rPr>
          <w:rFonts w:ascii="Arial" w:hAnsi="Arial" w:cs="Arial"/>
          <w:sz w:val="20"/>
          <w:szCs w:val="20"/>
          <w:lang w:val="en-GB"/>
        </w:rPr>
        <w:t xml:space="preserve"> </w:t>
      </w:r>
      <w:r w:rsidR="00310322" w:rsidRPr="007D2CFB">
        <w:rPr>
          <w:rFonts w:ascii="Arial" w:hAnsi="Arial" w:cs="Arial"/>
          <w:sz w:val="20"/>
          <w:szCs w:val="20"/>
          <w:lang w:val="en-GB"/>
        </w:rPr>
        <w:t xml:space="preserve">depicts the availability indication (DCI format 2_5) in a dual-parent case, where in the example the carrier components are associated to the MCG (Cell-1) and SCG (Cell-2) cells. As illustrated in the figure, both IAB-MT cells have overlapping spectrum with the IAB-DU Cell-1, while the IAB-DU Cell-2 only shares the spectrum with the IAB-MT Cell-2. </w:t>
      </w:r>
      <w:r w:rsidR="00440A3D" w:rsidRPr="007D2CFB">
        <w:rPr>
          <w:rFonts w:ascii="Arial" w:hAnsi="Arial" w:cs="Arial"/>
          <w:sz w:val="20"/>
          <w:szCs w:val="20"/>
          <w:lang w:val="en-GB"/>
        </w:rPr>
        <w:t>Assuming the both IAB-DU Cell-1 and Cell-2 are configured as soft resource</w:t>
      </w:r>
      <w:r w:rsidR="00310322" w:rsidRPr="007D2CFB">
        <w:rPr>
          <w:rFonts w:ascii="Arial" w:hAnsi="Arial" w:cs="Arial"/>
          <w:sz w:val="20"/>
          <w:szCs w:val="20"/>
          <w:lang w:val="en-GB"/>
        </w:rPr>
        <w:t xml:space="preserve">, the first parent node will provide the IAB-MT with one DCI format 2_5 for the </w:t>
      </w:r>
      <w:r w:rsidR="00372F40" w:rsidRPr="007D2CFB">
        <w:rPr>
          <w:rFonts w:ascii="Arial" w:hAnsi="Arial" w:cs="Arial"/>
          <w:sz w:val="20"/>
          <w:szCs w:val="20"/>
          <w:lang w:val="en-GB"/>
        </w:rPr>
        <w:t>IAB-</w:t>
      </w:r>
      <w:r w:rsidR="00310322" w:rsidRPr="007D2CFB">
        <w:rPr>
          <w:rFonts w:ascii="Arial" w:hAnsi="Arial" w:cs="Arial"/>
          <w:sz w:val="20"/>
          <w:szCs w:val="20"/>
          <w:lang w:val="en-GB"/>
        </w:rPr>
        <w:t xml:space="preserve">DU </w:t>
      </w:r>
      <w:r w:rsidR="00440A3D" w:rsidRPr="007D2CFB">
        <w:rPr>
          <w:rFonts w:ascii="Arial" w:hAnsi="Arial" w:cs="Arial"/>
          <w:sz w:val="20"/>
          <w:szCs w:val="20"/>
          <w:lang w:val="en-GB"/>
        </w:rPr>
        <w:t>Cell-1</w:t>
      </w:r>
      <w:r w:rsidR="00310322" w:rsidRPr="007D2CFB">
        <w:rPr>
          <w:rFonts w:ascii="Arial" w:hAnsi="Arial" w:cs="Arial"/>
          <w:sz w:val="20"/>
          <w:szCs w:val="20"/>
          <w:lang w:val="en-GB"/>
        </w:rPr>
        <w:t xml:space="preserve">, and the second parent node </w:t>
      </w:r>
      <w:r w:rsidR="005B2AE6" w:rsidRPr="007D2CFB">
        <w:rPr>
          <w:rFonts w:ascii="Arial" w:hAnsi="Arial" w:cs="Arial"/>
          <w:sz w:val="20"/>
          <w:szCs w:val="20"/>
          <w:lang w:val="en-GB"/>
        </w:rPr>
        <w:t>may</w:t>
      </w:r>
      <w:r w:rsidR="00310322" w:rsidRPr="007D2CFB">
        <w:rPr>
          <w:rFonts w:ascii="Arial" w:hAnsi="Arial" w:cs="Arial"/>
          <w:sz w:val="20"/>
          <w:szCs w:val="20"/>
          <w:lang w:val="en-GB"/>
        </w:rPr>
        <w:t xml:space="preserve"> provide the IAB-MT with two availability indicators for </w:t>
      </w:r>
      <w:r w:rsidR="00440A3D" w:rsidRPr="007D2CFB">
        <w:rPr>
          <w:rFonts w:ascii="Arial" w:hAnsi="Arial" w:cs="Arial"/>
          <w:sz w:val="20"/>
          <w:szCs w:val="20"/>
          <w:lang w:val="en-GB"/>
        </w:rPr>
        <w:t>IAB-DU Cell-1 and Cell-2</w:t>
      </w:r>
      <w:r w:rsidR="00310322" w:rsidRPr="007D2CFB">
        <w:rPr>
          <w:rFonts w:ascii="Arial" w:hAnsi="Arial" w:cs="Arial"/>
          <w:sz w:val="20"/>
          <w:szCs w:val="20"/>
          <w:lang w:val="en-GB"/>
        </w:rPr>
        <w:t>, respectively. It should be noted that the availability indication for the dual-parent case is signal</w:t>
      </w:r>
      <w:r w:rsidR="0061419A" w:rsidRPr="007D2CFB">
        <w:rPr>
          <w:rFonts w:ascii="Arial" w:hAnsi="Arial" w:cs="Arial"/>
          <w:sz w:val="20"/>
          <w:szCs w:val="20"/>
          <w:lang w:val="en-GB"/>
        </w:rPr>
        <w:t>l</w:t>
      </w:r>
      <w:r w:rsidR="00310322" w:rsidRPr="007D2CFB">
        <w:rPr>
          <w:rFonts w:ascii="Arial" w:hAnsi="Arial" w:cs="Arial"/>
          <w:sz w:val="20"/>
          <w:szCs w:val="20"/>
          <w:lang w:val="en-GB"/>
        </w:rPr>
        <w:t>ing-wise similar to the single-parent case</w:t>
      </w:r>
      <w:r w:rsidR="0061419A" w:rsidRPr="007D2CFB">
        <w:rPr>
          <w:rFonts w:ascii="Arial" w:hAnsi="Arial" w:cs="Arial"/>
          <w:sz w:val="20"/>
          <w:szCs w:val="20"/>
          <w:lang w:val="en-GB"/>
        </w:rPr>
        <w:t xml:space="preserve"> and already possible in specification under RAN2</w:t>
      </w:r>
      <w:r w:rsidR="00165F1E" w:rsidRPr="007D2CFB">
        <w:rPr>
          <w:rFonts w:ascii="Arial" w:hAnsi="Arial" w:cs="Arial"/>
          <w:sz w:val="20"/>
          <w:szCs w:val="20"/>
          <w:lang w:val="en-GB"/>
        </w:rPr>
        <w:t>’s</w:t>
      </w:r>
      <w:r w:rsidR="0061419A" w:rsidRPr="007D2CFB">
        <w:rPr>
          <w:rFonts w:ascii="Arial" w:hAnsi="Arial" w:cs="Arial"/>
          <w:sz w:val="20"/>
          <w:szCs w:val="20"/>
          <w:lang w:val="en-GB"/>
        </w:rPr>
        <w:t xml:space="preserve"> responsibility</w:t>
      </w:r>
      <w:r w:rsidR="00310322" w:rsidRPr="007D2CFB">
        <w:rPr>
          <w:rFonts w:ascii="Arial" w:hAnsi="Arial" w:cs="Arial"/>
          <w:sz w:val="20"/>
          <w:szCs w:val="20"/>
          <w:lang w:val="en-GB"/>
        </w:rPr>
        <w:t>. Hence, there is no need for additional enhancement over Rel-16 solution for the DCI format 2_5 indication.</w:t>
      </w:r>
    </w:p>
    <w:p w14:paraId="17910F22" w14:textId="77777777" w:rsidR="009066C9" w:rsidRPr="00C75E69" w:rsidRDefault="00310322" w:rsidP="00001349">
      <w:pPr>
        <w:keepNext/>
        <w:jc w:val="center"/>
      </w:pPr>
      <w:r>
        <w:rPr>
          <w:noProof/>
        </w:rPr>
        <w:lastRenderedPageBreak/>
        <w:drawing>
          <wp:inline distT="0" distB="0" distL="0" distR="0" wp14:anchorId="5CF7B41B" wp14:editId="5B1F3C9A">
            <wp:extent cx="4968818" cy="1991857"/>
            <wp:effectExtent l="0" t="0" r="0" b="8890"/>
            <wp:docPr id="2" name="Picture 2"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968818" cy="1991857"/>
                    </a:xfrm>
                    <a:prstGeom prst="rect">
                      <a:avLst/>
                    </a:prstGeom>
                  </pic:spPr>
                </pic:pic>
              </a:graphicData>
            </a:graphic>
          </wp:inline>
        </w:drawing>
      </w:r>
    </w:p>
    <w:p w14:paraId="5E092C42" w14:textId="4AB64697" w:rsidR="00310322" w:rsidRPr="00877A84" w:rsidRDefault="009066C9" w:rsidP="00D65E14">
      <w:pPr>
        <w:pStyle w:val="Caption"/>
        <w:jc w:val="both"/>
        <w:rPr>
          <w:lang w:val="en-GB"/>
        </w:rPr>
      </w:pPr>
      <w:bookmarkStart w:id="92" w:name="_Ref67306663"/>
      <w:r w:rsidRPr="00877A84">
        <w:rPr>
          <w:lang w:val="en-GB"/>
        </w:rPr>
        <w:t xml:space="preserve">Figure </w:t>
      </w:r>
      <w:r w:rsidRPr="00C75E69">
        <w:fldChar w:fldCharType="begin"/>
      </w:r>
      <w:r w:rsidRPr="000D6B4D">
        <w:rPr>
          <w:lang w:val="en-GB"/>
        </w:rPr>
        <w:instrText xml:space="preserve"> SEQ Figure \* ARABIC </w:instrText>
      </w:r>
      <w:r w:rsidRPr="00C75E69">
        <w:fldChar w:fldCharType="separate"/>
      </w:r>
      <w:r w:rsidR="00301FA3">
        <w:rPr>
          <w:noProof/>
          <w:lang w:val="en-GB"/>
        </w:rPr>
        <w:t>5</w:t>
      </w:r>
      <w:r w:rsidRPr="00C75E69">
        <w:fldChar w:fldCharType="end"/>
      </w:r>
      <w:bookmarkEnd w:id="92"/>
      <w:r w:rsidRPr="00877A84">
        <w:rPr>
          <w:lang w:val="en-GB"/>
        </w:rPr>
        <w:t>: An example of availability indication in the dual-parent scenario. The two IAB-MT serving cells (MCG and SCG, respectively) and the IAB-DU Cell-1 have partially overlapping spectrum. The IAB-MT Cell-2 needs to monitor two DCI format 2_5 indicators.</w:t>
      </w:r>
    </w:p>
    <w:p w14:paraId="20F3CC06" w14:textId="2E58532E" w:rsidR="00310322" w:rsidRPr="00B4490D" w:rsidRDefault="00310322" w:rsidP="007300CA">
      <w:pPr>
        <w:pStyle w:val="Observation"/>
      </w:pPr>
      <w:bookmarkStart w:id="93" w:name="_Toc59105100"/>
      <w:bookmarkStart w:id="94" w:name="_Toc61903471"/>
      <w:bookmarkStart w:id="95" w:name="_Toc71663386"/>
      <w:r w:rsidRPr="00B4490D">
        <w:t xml:space="preserve">For inter-carrier DC, multiple parent nodes can </w:t>
      </w:r>
      <w:r w:rsidR="00230A9B" w:rsidRPr="00B4490D">
        <w:t xml:space="preserve">already </w:t>
      </w:r>
      <w:r w:rsidRPr="00B4490D">
        <w:t xml:space="preserve">signal DCI </w:t>
      </w:r>
      <w:r w:rsidR="00442ADA">
        <w:t xml:space="preserve">format </w:t>
      </w:r>
      <w:r w:rsidRPr="00B4490D">
        <w:t>2_5 to the IAB-MT independently, with respect to the same IAB-DU cell.</w:t>
      </w:r>
      <w:bookmarkEnd w:id="93"/>
      <w:bookmarkEnd w:id="94"/>
      <w:bookmarkEnd w:id="95"/>
    </w:p>
    <w:p w14:paraId="0A264268" w14:textId="25FE526A" w:rsidR="00310322" w:rsidRPr="007D2CFB" w:rsidRDefault="00310322" w:rsidP="00872BF6">
      <w:pPr>
        <w:jc w:val="both"/>
        <w:rPr>
          <w:rFonts w:ascii="Arial" w:hAnsi="Arial" w:cs="Arial"/>
          <w:sz w:val="20"/>
          <w:szCs w:val="20"/>
          <w:lang w:val="en-GB"/>
        </w:rPr>
      </w:pPr>
      <w:r w:rsidRPr="007D2CFB">
        <w:rPr>
          <w:rFonts w:ascii="Arial" w:hAnsi="Arial" w:cs="Arial"/>
          <w:sz w:val="20"/>
          <w:szCs w:val="20"/>
          <w:lang w:val="en-GB"/>
        </w:rPr>
        <w:t xml:space="preserve">If a certain IAB-DU resource is configured as Soft with respect to multiple IAB-MT CCs, which correspond to different parent nodes, it is likely that the IAB-MT receives more than one DCI </w:t>
      </w:r>
      <w:r w:rsidR="00442ADA">
        <w:rPr>
          <w:rFonts w:ascii="Arial" w:hAnsi="Arial" w:cs="Arial"/>
          <w:sz w:val="20"/>
          <w:szCs w:val="20"/>
          <w:lang w:val="en-GB"/>
        </w:rPr>
        <w:t xml:space="preserve">format </w:t>
      </w:r>
      <w:r w:rsidRPr="007D2CFB">
        <w:rPr>
          <w:rFonts w:ascii="Arial" w:hAnsi="Arial" w:cs="Arial"/>
          <w:sz w:val="20"/>
          <w:szCs w:val="20"/>
          <w:lang w:val="en-GB"/>
        </w:rPr>
        <w:t xml:space="preserve">2_5 indicating the availability of the same IAB-DU resource. In this case, the IAB-DU should consider all received resource availability indications to determine the IAB-DU Soft resource availability as DL/UL/Flexible resource. In the example of </w:t>
      </w:r>
      <w:r w:rsidR="009066C9" w:rsidRPr="007D2CFB">
        <w:rPr>
          <w:rFonts w:ascii="Arial" w:hAnsi="Arial" w:cs="Arial"/>
          <w:sz w:val="20"/>
          <w:szCs w:val="20"/>
        </w:rPr>
        <w:fldChar w:fldCharType="begin"/>
      </w:r>
      <w:r w:rsidR="009066C9" w:rsidRPr="007D2CFB">
        <w:rPr>
          <w:rFonts w:ascii="Arial" w:hAnsi="Arial" w:cs="Arial"/>
          <w:sz w:val="20"/>
          <w:szCs w:val="20"/>
          <w:lang w:val="en-GB"/>
        </w:rPr>
        <w:instrText xml:space="preserve"> REF _Ref67306663 \h </w:instrText>
      </w:r>
      <w:r w:rsidR="00872BF6" w:rsidRPr="007D2CFB">
        <w:rPr>
          <w:rFonts w:ascii="Arial" w:hAnsi="Arial" w:cs="Arial"/>
          <w:sz w:val="20"/>
          <w:szCs w:val="20"/>
          <w:lang w:val="en-GB"/>
        </w:rPr>
        <w:instrText xml:space="preserve"> \* MERGEFORMAT </w:instrText>
      </w:r>
      <w:r w:rsidR="009066C9" w:rsidRPr="007D2CFB">
        <w:rPr>
          <w:rFonts w:ascii="Arial" w:hAnsi="Arial" w:cs="Arial"/>
          <w:sz w:val="20"/>
          <w:szCs w:val="20"/>
        </w:rPr>
      </w:r>
      <w:r w:rsidR="009066C9" w:rsidRPr="007D2CFB">
        <w:rPr>
          <w:rFonts w:ascii="Arial" w:hAnsi="Arial" w:cs="Arial"/>
          <w:sz w:val="20"/>
          <w:szCs w:val="20"/>
        </w:rPr>
        <w:fldChar w:fldCharType="separate"/>
      </w:r>
      <w:r w:rsidR="00301FA3" w:rsidRPr="00301FA3">
        <w:rPr>
          <w:rFonts w:ascii="Arial" w:hAnsi="Arial" w:cs="Arial"/>
          <w:sz w:val="20"/>
          <w:szCs w:val="20"/>
          <w:lang w:val="en-GB"/>
        </w:rPr>
        <w:t xml:space="preserve">Figure </w:t>
      </w:r>
      <w:r w:rsidR="00301FA3" w:rsidRPr="00301FA3">
        <w:rPr>
          <w:rFonts w:ascii="Arial" w:hAnsi="Arial" w:cs="Arial"/>
          <w:noProof/>
          <w:sz w:val="20"/>
          <w:szCs w:val="20"/>
          <w:lang w:val="en-GB"/>
        </w:rPr>
        <w:t>5</w:t>
      </w:r>
      <w:r w:rsidR="009066C9" w:rsidRPr="007D2CFB">
        <w:rPr>
          <w:rFonts w:ascii="Arial" w:hAnsi="Arial" w:cs="Arial"/>
          <w:sz w:val="20"/>
          <w:szCs w:val="20"/>
        </w:rPr>
        <w:fldChar w:fldCharType="end"/>
      </w:r>
      <w:r w:rsidRPr="007D2CFB">
        <w:rPr>
          <w:rFonts w:ascii="Arial" w:hAnsi="Arial" w:cs="Arial"/>
          <w:sz w:val="20"/>
          <w:szCs w:val="20"/>
          <w:lang w:val="en-GB"/>
        </w:rPr>
        <w:t xml:space="preserve">, to determine the availability of the Soft </w:t>
      </w:r>
      <w:r w:rsidR="00372F40" w:rsidRPr="007D2CFB">
        <w:rPr>
          <w:rFonts w:ascii="Arial" w:hAnsi="Arial" w:cs="Arial"/>
          <w:sz w:val="20"/>
          <w:szCs w:val="20"/>
          <w:lang w:val="en-GB"/>
        </w:rPr>
        <w:t>IAB-</w:t>
      </w:r>
      <w:r w:rsidRPr="007D2CFB">
        <w:rPr>
          <w:rFonts w:ascii="Arial" w:hAnsi="Arial" w:cs="Arial"/>
          <w:sz w:val="20"/>
          <w:szCs w:val="20"/>
          <w:lang w:val="en-GB"/>
        </w:rPr>
        <w:t>DU resource of Cell-1, the IAB-node should take into consideration of the two availability indicators</w:t>
      </w:r>
      <w:r w:rsidR="00F74511" w:rsidRPr="007D2CFB">
        <w:rPr>
          <w:rFonts w:ascii="Arial" w:hAnsi="Arial" w:cs="Arial"/>
          <w:sz w:val="20"/>
          <w:szCs w:val="20"/>
          <w:lang w:val="en-GB"/>
        </w:rPr>
        <w:t xml:space="preserve"> from both parent IAB-nodes</w:t>
      </w:r>
      <w:r w:rsidRPr="007D2CFB">
        <w:rPr>
          <w:rFonts w:ascii="Arial" w:hAnsi="Arial" w:cs="Arial"/>
          <w:sz w:val="20"/>
          <w:szCs w:val="20"/>
          <w:lang w:val="en-GB"/>
        </w:rPr>
        <w:t xml:space="preserve">. </w:t>
      </w:r>
    </w:p>
    <w:p w14:paraId="78CE45F4" w14:textId="5F490929" w:rsidR="00310322" w:rsidRDefault="00E259A5" w:rsidP="007300CA">
      <w:pPr>
        <w:pStyle w:val="Proposal"/>
      </w:pPr>
      <w:bookmarkStart w:id="96" w:name="_Toc61903488"/>
      <w:bookmarkStart w:id="97" w:name="_Toc71663408"/>
      <w:r>
        <w:t>T</w:t>
      </w:r>
      <w:r w:rsidR="00310322" w:rsidRPr="007B4D83">
        <w:t xml:space="preserve">o determine the availability of the per-cell </w:t>
      </w:r>
      <w:r w:rsidR="00372F40">
        <w:t>IAB-</w:t>
      </w:r>
      <w:r w:rsidR="00310322" w:rsidRPr="007B4D83">
        <w:t>DU soft resource by explicit indication, the IAB</w:t>
      </w:r>
      <w:r w:rsidR="00BB039A" w:rsidRPr="007B4D83">
        <w:t>-</w:t>
      </w:r>
      <w:r w:rsidR="00310322" w:rsidRPr="007B4D83">
        <w:t xml:space="preserve">node should take into consideration </w:t>
      </w:r>
      <w:r w:rsidR="007B4D83">
        <w:t>a</w:t>
      </w:r>
      <w:r w:rsidR="00310322" w:rsidRPr="000D6B4D">
        <w:t xml:space="preserve">ll received DCI format 2_5 from </w:t>
      </w:r>
      <w:r w:rsidR="00406AE6">
        <w:t xml:space="preserve">the dual parent IAB-nodes via </w:t>
      </w:r>
      <w:r w:rsidR="00310322" w:rsidRPr="000D6B4D">
        <w:t>co</w:t>
      </w:r>
      <w:r w:rsidR="00CB712D">
        <w:t>-</w:t>
      </w:r>
      <w:r w:rsidR="00310322" w:rsidRPr="000D6B4D">
        <w:t xml:space="preserve">located </w:t>
      </w:r>
      <w:r w:rsidR="00372F40">
        <w:t>IAB-</w:t>
      </w:r>
      <w:r w:rsidR="00310322" w:rsidRPr="000D6B4D">
        <w:t xml:space="preserve">MT carriers associated to the same </w:t>
      </w:r>
      <w:r w:rsidR="00372F40">
        <w:t>IAB-</w:t>
      </w:r>
      <w:r w:rsidR="00310322" w:rsidRPr="000D6B4D">
        <w:t>DU cell.</w:t>
      </w:r>
      <w:bookmarkEnd w:id="96"/>
      <w:bookmarkEnd w:id="97"/>
    </w:p>
    <w:p w14:paraId="026069D7" w14:textId="1F9DB44E" w:rsidR="00406AE6" w:rsidRPr="007B4D83" w:rsidRDefault="00406AE6" w:rsidP="007300CA">
      <w:pPr>
        <w:pStyle w:val="Proposal"/>
      </w:pPr>
      <w:bookmarkStart w:id="98" w:name="_Toc71663409"/>
      <w:r>
        <w:t xml:space="preserve">It is assumed that </w:t>
      </w:r>
      <w:r w:rsidR="00EE1EAD">
        <w:t xml:space="preserve">the per-cell IAB-DU </w:t>
      </w:r>
      <w:r w:rsidR="00DB171F">
        <w:t xml:space="preserve">Soft </w:t>
      </w:r>
      <w:r w:rsidR="00EE1EAD">
        <w:t xml:space="preserve">resource </w:t>
      </w:r>
      <w:r w:rsidR="00EE1EAD">
        <w:t xml:space="preserve">is </w:t>
      </w:r>
      <w:r w:rsidR="00C609AE">
        <w:t>N</w:t>
      </w:r>
      <w:r w:rsidR="00EE1EAD">
        <w:t xml:space="preserve">ot </w:t>
      </w:r>
      <w:r w:rsidR="00C609AE">
        <w:t>A</w:t>
      </w:r>
      <w:r w:rsidR="00EE1EAD">
        <w:t xml:space="preserve">vailable </w:t>
      </w:r>
      <w:r w:rsidR="00EE1EAD">
        <w:t xml:space="preserve">if it is </w:t>
      </w:r>
      <w:r w:rsidR="00900F9C">
        <w:t xml:space="preserve">neither explicitly </w:t>
      </w:r>
      <w:r w:rsidR="00EE1EAD">
        <w:t xml:space="preserve">indicated as </w:t>
      </w:r>
      <w:r w:rsidR="00900F9C">
        <w:t xml:space="preserve">Available, nor implicitly </w:t>
      </w:r>
      <w:r w:rsidR="00336C51">
        <w:t>determined</w:t>
      </w:r>
      <w:r w:rsidR="00900F9C">
        <w:t xml:space="preserve"> as Available</w:t>
      </w:r>
      <w:r w:rsidR="00EE1EAD">
        <w:t xml:space="preserve"> by </w:t>
      </w:r>
      <w:r w:rsidR="00900F9C">
        <w:t xml:space="preserve">the IAB-DU with respect to </w:t>
      </w:r>
      <w:r w:rsidR="00EE1EAD">
        <w:t>at least one parent IAB</w:t>
      </w:r>
      <w:r w:rsidR="00900F9C">
        <w:t xml:space="preserve"> </w:t>
      </w:r>
      <w:r w:rsidR="00EE1EAD">
        <w:t>node</w:t>
      </w:r>
      <w:r w:rsidR="00336C51">
        <w:t>.</w:t>
      </w:r>
      <w:bookmarkEnd w:id="98"/>
    </w:p>
    <w:p w14:paraId="54E722EE" w14:textId="77777777" w:rsidR="00310322" w:rsidRPr="00C75E69" w:rsidRDefault="00310322" w:rsidP="003F6E3C">
      <w:pPr>
        <w:pStyle w:val="Heading2"/>
        <w:jc w:val="both"/>
      </w:pPr>
      <w:r w:rsidRPr="00C75E69">
        <w:t xml:space="preserve">TDD pattern alignment </w:t>
      </w:r>
    </w:p>
    <w:p w14:paraId="4233E2CC" w14:textId="5987B189" w:rsidR="00310322" w:rsidRPr="00877A84" w:rsidRDefault="00310322" w:rsidP="00872BF6">
      <w:pPr>
        <w:jc w:val="both"/>
        <w:rPr>
          <w:rFonts w:ascii="Arial" w:hAnsi="Arial" w:cs="Arial"/>
          <w:sz w:val="20"/>
          <w:szCs w:val="20"/>
          <w:lang w:val="en-GB"/>
        </w:rPr>
      </w:pPr>
      <w:r w:rsidRPr="00877A84">
        <w:rPr>
          <w:rFonts w:ascii="Arial" w:hAnsi="Arial" w:cs="Arial"/>
          <w:sz w:val="20"/>
          <w:szCs w:val="20"/>
          <w:lang w:val="en-GB"/>
        </w:rPr>
        <w:t>In the intra-band inter-carrier DC case, if the carriers of the MCG and SCG links are too close for the IAB-MT to operate them independently, the IAB-MT is not able to support asynchronous TDD patterns, i.e., the MCG and SCG links can</w:t>
      </w:r>
      <w:r w:rsidR="007376CD" w:rsidRPr="00877A84">
        <w:rPr>
          <w:rFonts w:ascii="Arial" w:hAnsi="Arial" w:cs="Arial"/>
          <w:sz w:val="20"/>
          <w:szCs w:val="20"/>
          <w:lang w:val="en-GB"/>
        </w:rPr>
        <w:t>not</w:t>
      </w:r>
      <w:r w:rsidRPr="00877A84">
        <w:rPr>
          <w:rFonts w:ascii="Arial" w:hAnsi="Arial" w:cs="Arial"/>
          <w:sz w:val="20"/>
          <w:szCs w:val="20"/>
          <w:lang w:val="en-GB"/>
        </w:rPr>
        <w:t xml:space="preserve"> have </w:t>
      </w:r>
      <w:r w:rsidR="0021436C">
        <w:rPr>
          <w:rFonts w:ascii="Arial" w:hAnsi="Arial" w:cs="Arial"/>
          <w:sz w:val="20"/>
          <w:szCs w:val="20"/>
          <w:lang w:val="en-GB"/>
        </w:rPr>
        <w:t>opposing</w:t>
      </w:r>
      <w:r w:rsidRPr="00877A84">
        <w:rPr>
          <w:rFonts w:ascii="Arial" w:hAnsi="Arial" w:cs="Arial"/>
          <w:sz w:val="20"/>
          <w:szCs w:val="20"/>
          <w:lang w:val="en-GB"/>
        </w:rPr>
        <w:t xml:space="preserve"> </w:t>
      </w:r>
      <w:r w:rsidR="0021436C">
        <w:rPr>
          <w:rFonts w:ascii="Arial" w:hAnsi="Arial" w:cs="Arial"/>
          <w:sz w:val="20"/>
          <w:szCs w:val="20"/>
          <w:lang w:val="en-GB"/>
        </w:rPr>
        <w:t>(</w:t>
      </w:r>
      <w:r w:rsidRPr="00877A84">
        <w:rPr>
          <w:rFonts w:ascii="Arial" w:hAnsi="Arial" w:cs="Arial"/>
          <w:sz w:val="20"/>
          <w:szCs w:val="20"/>
          <w:lang w:val="en-GB"/>
        </w:rPr>
        <w:t>DL/UL</w:t>
      </w:r>
      <w:r w:rsidR="0021436C">
        <w:rPr>
          <w:rFonts w:ascii="Arial" w:hAnsi="Arial" w:cs="Arial"/>
          <w:sz w:val="20"/>
          <w:szCs w:val="20"/>
          <w:lang w:val="en-GB"/>
        </w:rPr>
        <w:t>)</w:t>
      </w:r>
      <w:r w:rsidRPr="00877A84">
        <w:rPr>
          <w:rFonts w:ascii="Arial" w:hAnsi="Arial" w:cs="Arial"/>
          <w:sz w:val="20"/>
          <w:szCs w:val="20"/>
          <w:lang w:val="en-GB"/>
        </w:rPr>
        <w:t xml:space="preserve"> transmission direction</w:t>
      </w:r>
      <w:r w:rsidR="0021436C">
        <w:rPr>
          <w:rFonts w:ascii="Arial" w:hAnsi="Arial" w:cs="Arial"/>
          <w:sz w:val="20"/>
          <w:szCs w:val="20"/>
          <w:lang w:val="en-GB"/>
        </w:rPr>
        <w:t>s</w:t>
      </w:r>
      <w:r w:rsidRPr="00877A84">
        <w:rPr>
          <w:rFonts w:ascii="Arial" w:hAnsi="Arial" w:cs="Arial"/>
          <w:sz w:val="20"/>
          <w:szCs w:val="20"/>
          <w:lang w:val="en-GB"/>
        </w:rPr>
        <w:t xml:space="preserve">. In Rel-16 specification, the </w:t>
      </w:r>
      <w:r w:rsidR="007376CD" w:rsidRPr="00877A84">
        <w:rPr>
          <w:rFonts w:ascii="Arial" w:hAnsi="Arial" w:cs="Arial"/>
          <w:sz w:val="20"/>
          <w:szCs w:val="20"/>
          <w:lang w:val="en-GB"/>
        </w:rPr>
        <w:t xml:space="preserve">collision </w:t>
      </w:r>
      <w:r w:rsidRPr="00877A84">
        <w:rPr>
          <w:rFonts w:ascii="Arial" w:hAnsi="Arial" w:cs="Arial"/>
          <w:sz w:val="20"/>
          <w:szCs w:val="20"/>
          <w:lang w:val="en-GB"/>
        </w:rPr>
        <w:t>handling of transmission direction</w:t>
      </w:r>
      <w:r w:rsidR="007376CD" w:rsidRPr="00877A84">
        <w:rPr>
          <w:rFonts w:ascii="Arial" w:hAnsi="Arial" w:cs="Arial"/>
          <w:sz w:val="20"/>
          <w:szCs w:val="20"/>
          <w:lang w:val="en-GB"/>
        </w:rPr>
        <w:t>s</w:t>
      </w:r>
      <w:r w:rsidRPr="00877A84">
        <w:rPr>
          <w:rFonts w:ascii="Arial" w:hAnsi="Arial" w:cs="Arial"/>
          <w:sz w:val="20"/>
          <w:szCs w:val="20"/>
          <w:lang w:val="en-GB"/>
        </w:rPr>
        <w:t xml:space="preserve"> was specified for UE behavio</w:t>
      </w:r>
      <w:r w:rsidR="007376CD" w:rsidRPr="00877A84">
        <w:rPr>
          <w:rFonts w:ascii="Arial" w:hAnsi="Arial" w:cs="Arial"/>
          <w:sz w:val="20"/>
          <w:szCs w:val="20"/>
          <w:lang w:val="en-GB"/>
        </w:rPr>
        <w:t>u</w:t>
      </w:r>
      <w:r w:rsidRPr="00877A84">
        <w:rPr>
          <w:rFonts w:ascii="Arial" w:hAnsi="Arial" w:cs="Arial"/>
          <w:sz w:val="20"/>
          <w:szCs w:val="20"/>
          <w:lang w:val="en-GB"/>
        </w:rPr>
        <w:t>r in half duplex CA operation</w:t>
      </w:r>
      <w:r w:rsidR="00B06DA7" w:rsidRPr="00877A84">
        <w:rPr>
          <w:rFonts w:ascii="Arial" w:hAnsi="Arial" w:cs="Arial"/>
          <w:sz w:val="20"/>
          <w:szCs w:val="20"/>
          <w:lang w:val="en-GB"/>
        </w:rPr>
        <w:t xml:space="preserve"> </w:t>
      </w:r>
      <w:r w:rsidR="00212BEA">
        <w:rPr>
          <w:rFonts w:ascii="Arial" w:hAnsi="Arial" w:cs="Arial"/>
          <w:sz w:val="20"/>
          <w:szCs w:val="20"/>
          <w:lang w:val="en-GB"/>
        </w:rPr>
        <w:fldChar w:fldCharType="begin"/>
      </w:r>
      <w:r w:rsidR="00212BEA">
        <w:rPr>
          <w:rFonts w:ascii="Arial" w:hAnsi="Arial" w:cs="Arial"/>
          <w:sz w:val="20"/>
          <w:szCs w:val="20"/>
          <w:lang w:val="en-GB"/>
        </w:rPr>
        <w:instrText xml:space="preserve"> REF _Ref71662548 \r \h </w:instrText>
      </w:r>
      <w:r w:rsidR="00212BEA">
        <w:rPr>
          <w:rFonts w:ascii="Arial" w:hAnsi="Arial" w:cs="Arial"/>
          <w:sz w:val="20"/>
          <w:szCs w:val="20"/>
          <w:lang w:val="en-GB"/>
        </w:rPr>
      </w:r>
      <w:r w:rsidR="00212BEA">
        <w:rPr>
          <w:rFonts w:ascii="Arial" w:hAnsi="Arial" w:cs="Arial"/>
          <w:sz w:val="20"/>
          <w:szCs w:val="20"/>
          <w:lang w:val="en-GB"/>
        </w:rPr>
        <w:fldChar w:fldCharType="separate"/>
      </w:r>
      <w:r w:rsidR="00301FA3">
        <w:rPr>
          <w:rFonts w:ascii="Arial" w:hAnsi="Arial" w:cs="Arial"/>
          <w:sz w:val="20"/>
          <w:szCs w:val="20"/>
          <w:lang w:val="en-GB"/>
        </w:rPr>
        <w:t>[6]</w:t>
      </w:r>
      <w:r w:rsidR="00212BEA">
        <w:rPr>
          <w:rFonts w:ascii="Arial" w:hAnsi="Arial" w:cs="Arial"/>
          <w:sz w:val="20"/>
          <w:szCs w:val="20"/>
          <w:lang w:val="en-GB"/>
        </w:rPr>
        <w:fldChar w:fldCharType="end"/>
      </w:r>
      <w:r w:rsidR="00B06DA7" w:rsidRPr="00C75E69">
        <w:rPr>
          <w:rFonts w:ascii="Arial" w:hAnsi="Arial" w:cs="Arial"/>
          <w:sz w:val="20"/>
          <w:szCs w:val="20"/>
        </w:rPr>
        <w:fldChar w:fldCharType="begin"/>
      </w:r>
      <w:r w:rsidR="00B06DA7" w:rsidRPr="000D6B4D">
        <w:rPr>
          <w:rFonts w:ascii="Arial" w:hAnsi="Arial" w:cs="Arial"/>
          <w:sz w:val="20"/>
          <w:szCs w:val="20"/>
          <w:lang w:val="en-GB"/>
        </w:rPr>
        <w:instrText xml:space="preserve"> REF _Ref66820699 \r \h </w:instrText>
      </w:r>
      <w:r w:rsidR="00872BF6" w:rsidRPr="00ED0C83">
        <w:rPr>
          <w:rFonts w:ascii="Arial" w:hAnsi="Arial" w:cs="Arial"/>
          <w:sz w:val="20"/>
          <w:szCs w:val="20"/>
          <w:lang w:val="en-GB"/>
        </w:rPr>
        <w:instrText xml:space="preserve"> \* MERGEFORMAT </w:instrText>
      </w:r>
      <w:r w:rsidR="00B06DA7" w:rsidRPr="00C75E69">
        <w:rPr>
          <w:rFonts w:ascii="Arial" w:hAnsi="Arial" w:cs="Arial"/>
          <w:sz w:val="20"/>
          <w:szCs w:val="20"/>
        </w:rPr>
      </w:r>
      <w:r w:rsidR="00B06DA7" w:rsidRPr="00C75E69">
        <w:rPr>
          <w:rFonts w:ascii="Arial" w:hAnsi="Arial" w:cs="Arial"/>
          <w:sz w:val="20"/>
          <w:szCs w:val="20"/>
        </w:rPr>
        <w:fldChar w:fldCharType="separate"/>
      </w:r>
      <w:r w:rsidR="00301FA3">
        <w:rPr>
          <w:rFonts w:ascii="Arial" w:hAnsi="Arial" w:cs="Arial"/>
          <w:sz w:val="20"/>
          <w:szCs w:val="20"/>
          <w:lang w:val="en-GB"/>
        </w:rPr>
        <w:t>[11]</w:t>
      </w:r>
      <w:r w:rsidR="00B06DA7" w:rsidRPr="00C75E69">
        <w:rPr>
          <w:rFonts w:ascii="Arial" w:hAnsi="Arial" w:cs="Arial"/>
          <w:sz w:val="20"/>
          <w:szCs w:val="20"/>
        </w:rPr>
        <w:fldChar w:fldCharType="end"/>
      </w:r>
      <w:r w:rsidR="00536521">
        <w:rPr>
          <w:rFonts w:ascii="Arial" w:hAnsi="Arial" w:cs="Arial"/>
          <w:sz w:val="20"/>
          <w:szCs w:val="20"/>
        </w:rPr>
        <w:fldChar w:fldCharType="begin"/>
      </w:r>
      <w:r w:rsidR="00536521" w:rsidRPr="00FC2675">
        <w:rPr>
          <w:rFonts w:ascii="Arial" w:hAnsi="Arial" w:cs="Arial"/>
          <w:sz w:val="20"/>
          <w:szCs w:val="20"/>
          <w:lang w:val="en-GB"/>
        </w:rPr>
        <w:instrText xml:space="preserve"> REF _Ref70198184 \r \h </w:instrText>
      </w:r>
      <w:r w:rsidR="006740AE" w:rsidRPr="00E25D4B">
        <w:rPr>
          <w:rFonts w:ascii="Arial" w:hAnsi="Arial" w:cs="Arial"/>
          <w:sz w:val="20"/>
          <w:szCs w:val="20"/>
          <w:lang w:val="en-GB"/>
        </w:rPr>
        <w:instrText xml:space="preserve"> \* MERGEFORMAT </w:instrText>
      </w:r>
      <w:r w:rsidR="00536521">
        <w:rPr>
          <w:rFonts w:ascii="Arial" w:hAnsi="Arial" w:cs="Arial"/>
          <w:sz w:val="20"/>
          <w:szCs w:val="20"/>
        </w:rPr>
      </w:r>
      <w:r w:rsidR="00536521">
        <w:rPr>
          <w:rFonts w:ascii="Arial" w:hAnsi="Arial" w:cs="Arial"/>
          <w:sz w:val="20"/>
          <w:szCs w:val="20"/>
        </w:rPr>
        <w:fldChar w:fldCharType="separate"/>
      </w:r>
      <w:r w:rsidR="00301FA3">
        <w:rPr>
          <w:rFonts w:ascii="Arial" w:hAnsi="Arial" w:cs="Arial"/>
          <w:sz w:val="20"/>
          <w:szCs w:val="20"/>
          <w:lang w:val="en-GB"/>
        </w:rPr>
        <w:t>[12]</w:t>
      </w:r>
      <w:r w:rsidR="00536521">
        <w:rPr>
          <w:rFonts w:ascii="Arial" w:hAnsi="Arial" w:cs="Arial"/>
          <w:sz w:val="20"/>
          <w:szCs w:val="20"/>
        </w:rPr>
        <w:fldChar w:fldCharType="end"/>
      </w:r>
      <w:r w:rsidRPr="00877A84">
        <w:rPr>
          <w:rFonts w:ascii="Arial" w:hAnsi="Arial" w:cs="Arial"/>
          <w:sz w:val="20"/>
          <w:szCs w:val="20"/>
          <w:lang w:val="en-GB"/>
        </w:rPr>
        <w:t xml:space="preserve">. </w:t>
      </w:r>
      <w:r w:rsidR="00393CF0">
        <w:rPr>
          <w:rFonts w:ascii="Arial" w:hAnsi="Arial" w:cs="Arial"/>
          <w:sz w:val="20"/>
          <w:szCs w:val="20"/>
          <w:lang w:val="en-GB"/>
        </w:rPr>
        <w:t xml:space="preserve">In RAN1#104bis-e, RAN1 has agreed to extend the Rel-16 CA TDD conflict resolution framework for synchronous intra-band NR-DC, </w:t>
      </w:r>
      <w:r w:rsidR="00B47574" w:rsidRPr="00877A84">
        <w:rPr>
          <w:rFonts w:ascii="Arial" w:hAnsi="Arial" w:cs="Arial"/>
          <w:sz w:val="20"/>
          <w:szCs w:val="20"/>
          <w:lang w:val="en-GB"/>
        </w:rPr>
        <w:t xml:space="preserve">i.e., </w:t>
      </w:r>
      <w:r w:rsidRPr="00877A84">
        <w:rPr>
          <w:rFonts w:ascii="Arial" w:hAnsi="Arial" w:cs="Arial"/>
          <w:sz w:val="20"/>
          <w:szCs w:val="20"/>
          <w:lang w:val="en-GB"/>
        </w:rPr>
        <w:t xml:space="preserve">for IAB-MTs which do not support simultaneous transmission and reception on any pair of the multiple serving cells configured for the dual parent nodes in the same frequency band. In particular, the IAB-MT can report to the </w:t>
      </w:r>
      <w:r w:rsidR="00E6365D">
        <w:rPr>
          <w:rFonts w:ascii="Arial" w:hAnsi="Arial" w:cs="Arial"/>
          <w:sz w:val="20"/>
          <w:szCs w:val="20"/>
          <w:lang w:val="en-GB"/>
        </w:rPr>
        <w:t>IAB-</w:t>
      </w:r>
      <w:r w:rsidRPr="00877A84">
        <w:rPr>
          <w:rFonts w:ascii="Arial" w:hAnsi="Arial" w:cs="Arial"/>
          <w:sz w:val="20"/>
          <w:szCs w:val="20"/>
          <w:lang w:val="en-GB"/>
        </w:rPr>
        <w:t>donor-CU about its capability regarding simultaneous transmission and reception on multiple serving cells configured for the dual-parent nodes in the same</w:t>
      </w:r>
      <w:r w:rsidR="00393CF0">
        <w:rPr>
          <w:rFonts w:ascii="Arial" w:hAnsi="Arial" w:cs="Arial"/>
          <w:sz w:val="20"/>
          <w:szCs w:val="20"/>
          <w:lang w:val="en-GB"/>
        </w:rPr>
        <w:t xml:space="preserve"> </w:t>
      </w:r>
      <w:r w:rsidRPr="00877A84">
        <w:rPr>
          <w:rFonts w:ascii="Arial" w:hAnsi="Arial" w:cs="Arial"/>
          <w:sz w:val="20"/>
          <w:szCs w:val="20"/>
          <w:lang w:val="en-GB"/>
        </w:rPr>
        <w:t xml:space="preserve">frequency band. In addition, an IAB-MT which does not support the full-duplex DC operation can assume the parent backhaul links to have aligned transmission direction in terms of UL/DL configuration. </w:t>
      </w:r>
    </w:p>
    <w:p w14:paraId="5B9079E2" w14:textId="3DA3FEC7" w:rsidR="00310322" w:rsidRPr="00877A84" w:rsidRDefault="00310322" w:rsidP="007300CA">
      <w:pPr>
        <w:pStyle w:val="Proposal"/>
      </w:pPr>
      <w:bookmarkStart w:id="99" w:name="_Toc61903489"/>
      <w:bookmarkStart w:id="100" w:name="_Toc71663410"/>
      <w:r w:rsidRPr="00877A84">
        <w:t xml:space="preserve">For inter-carrier DC, the </w:t>
      </w:r>
      <w:r w:rsidR="00E6365D">
        <w:t>IAB-</w:t>
      </w:r>
      <w:r w:rsidRPr="00877A84">
        <w:t>donor-CU can be made aware of the IAB-MT’s capability regarding simultaneous transmission and reception on multiple serving cells in a frequency band, configured by</w:t>
      </w:r>
      <w:r w:rsidR="00474221" w:rsidRPr="00877A84">
        <w:t xml:space="preserve"> the</w:t>
      </w:r>
      <w:r w:rsidRPr="00877A84">
        <w:t xml:space="preserve"> two parent nodes.</w:t>
      </w:r>
      <w:bookmarkEnd w:id="99"/>
      <w:bookmarkEnd w:id="100"/>
    </w:p>
    <w:p w14:paraId="30A96024" w14:textId="77777777" w:rsidR="00E81D06" w:rsidRDefault="00310322" w:rsidP="007300CA">
      <w:pPr>
        <w:pStyle w:val="Proposal"/>
      </w:pPr>
      <w:bookmarkStart w:id="101" w:name="_Toc61903490"/>
      <w:bookmarkStart w:id="102" w:name="_Toc71663411"/>
      <w:r w:rsidRPr="00877A84">
        <w:t>If an IAB-MT is not capable of simultaneous transmission and reception on any pair of the multiple serving cells in the frequency band configured for two parent nodes, the IAB-MT can assume all serving cells configured for the two parent nodes have aligned UL/DL directions.</w:t>
      </w:r>
      <w:bookmarkStart w:id="103" w:name="_Toc61903491"/>
      <w:bookmarkEnd w:id="101"/>
      <w:bookmarkEnd w:id="102"/>
    </w:p>
    <w:bookmarkEnd w:id="103"/>
    <w:p w14:paraId="2284BEF8" w14:textId="2EE2D980" w:rsidR="00CD772E" w:rsidRPr="00EE0F9E" w:rsidRDefault="00393CF0" w:rsidP="00836D13">
      <w:pPr>
        <w:jc w:val="both"/>
        <w:rPr>
          <w:rFonts w:ascii="Arial" w:hAnsi="Arial" w:cs="Arial"/>
          <w:sz w:val="20"/>
          <w:szCs w:val="20"/>
        </w:rPr>
      </w:pPr>
      <w:r w:rsidRPr="00EE0F9E">
        <w:rPr>
          <w:rFonts w:ascii="Arial" w:hAnsi="Arial" w:cs="Arial"/>
          <w:sz w:val="20"/>
          <w:szCs w:val="20"/>
        </w:rPr>
        <w:lastRenderedPageBreak/>
        <w:t xml:space="preserve">In inter-donor multi-parent case, a conflict of semi-static configured DL/UL directions may occur since the semi-static UL/DL/FL configurations are done by two IAB-donors, which control the respective parent IAB-node. To avoid conflict of semi-static resource configuration on UL/DL directions, some coordination between the two IAB-donors is needed. </w:t>
      </w:r>
      <w:r w:rsidR="00793FEA" w:rsidRPr="00EE0F9E">
        <w:rPr>
          <w:rFonts w:ascii="Arial" w:hAnsi="Arial" w:cs="Arial"/>
          <w:sz w:val="20"/>
          <w:szCs w:val="20"/>
        </w:rPr>
        <w:t>In</w:t>
      </w:r>
      <w:r w:rsidR="00C609AE" w:rsidRPr="00EE0F9E">
        <w:rPr>
          <w:rFonts w:ascii="Arial" w:hAnsi="Arial" w:cs="Arial"/>
          <w:sz w:val="20"/>
          <w:szCs w:val="20"/>
        </w:rPr>
        <w:t xml:space="preserve"> </w:t>
      </w:r>
      <w:r w:rsidR="00310322" w:rsidRPr="00EE0F9E">
        <w:rPr>
          <w:rFonts w:ascii="Arial" w:hAnsi="Arial" w:cs="Arial"/>
          <w:sz w:val="20"/>
          <w:szCs w:val="20"/>
        </w:rPr>
        <w:t xml:space="preserve">intra-donor DC, the same </w:t>
      </w:r>
      <w:r w:rsidR="00E6365D" w:rsidRPr="00EE0F9E">
        <w:rPr>
          <w:rFonts w:ascii="Arial" w:hAnsi="Arial" w:cs="Arial"/>
          <w:sz w:val="20"/>
          <w:szCs w:val="20"/>
        </w:rPr>
        <w:t>IAB-</w:t>
      </w:r>
      <w:r w:rsidR="00310322" w:rsidRPr="00EE0F9E">
        <w:rPr>
          <w:rFonts w:ascii="Arial" w:hAnsi="Arial" w:cs="Arial"/>
          <w:sz w:val="20"/>
          <w:szCs w:val="20"/>
        </w:rPr>
        <w:t xml:space="preserve">donor-CU node is responsible for the semi-static resource configuration of both parent nodes. It is expected that the </w:t>
      </w:r>
      <w:r w:rsidR="00E6365D" w:rsidRPr="00EE0F9E">
        <w:rPr>
          <w:rFonts w:ascii="Arial" w:hAnsi="Arial" w:cs="Arial"/>
          <w:sz w:val="20"/>
          <w:szCs w:val="20"/>
        </w:rPr>
        <w:t>IAB-</w:t>
      </w:r>
      <w:r w:rsidR="00310322" w:rsidRPr="00EE0F9E">
        <w:rPr>
          <w:rFonts w:ascii="Arial" w:hAnsi="Arial" w:cs="Arial"/>
          <w:sz w:val="20"/>
          <w:szCs w:val="20"/>
        </w:rPr>
        <w:t xml:space="preserve">donor-CU can coordinate the parent </w:t>
      </w:r>
      <w:r w:rsidR="00372F40" w:rsidRPr="00EE0F9E">
        <w:rPr>
          <w:rFonts w:ascii="Arial" w:hAnsi="Arial" w:cs="Arial"/>
          <w:sz w:val="20"/>
          <w:szCs w:val="20"/>
        </w:rPr>
        <w:t>IAB-</w:t>
      </w:r>
      <w:r w:rsidR="00310322" w:rsidRPr="00EE0F9E">
        <w:rPr>
          <w:rFonts w:ascii="Arial" w:hAnsi="Arial" w:cs="Arial"/>
          <w:sz w:val="20"/>
          <w:szCs w:val="20"/>
        </w:rPr>
        <w:t xml:space="preserve">nodes DU resource configurations to avoid a collision of transmission direction. On the other hand, the </w:t>
      </w:r>
      <w:r w:rsidR="002744D7" w:rsidRPr="00EE0F9E">
        <w:rPr>
          <w:rFonts w:ascii="Arial" w:hAnsi="Arial" w:cs="Arial"/>
          <w:sz w:val="20"/>
          <w:szCs w:val="20"/>
        </w:rPr>
        <w:t>DCI</w:t>
      </w:r>
      <w:r w:rsidR="00310322" w:rsidRPr="00EE0F9E">
        <w:rPr>
          <w:rFonts w:ascii="Arial" w:hAnsi="Arial" w:cs="Arial"/>
          <w:sz w:val="20"/>
          <w:szCs w:val="20"/>
        </w:rPr>
        <w:t xml:space="preserve">-based dynamic </w:t>
      </w:r>
      <w:r w:rsidR="002744D7" w:rsidRPr="00EE0F9E">
        <w:rPr>
          <w:rFonts w:ascii="Arial" w:hAnsi="Arial" w:cs="Arial"/>
          <w:sz w:val="20"/>
          <w:szCs w:val="20"/>
        </w:rPr>
        <w:t>UL/DL indication</w:t>
      </w:r>
      <w:r w:rsidR="00310322" w:rsidRPr="00EE0F9E">
        <w:rPr>
          <w:rFonts w:ascii="Arial" w:hAnsi="Arial" w:cs="Arial"/>
          <w:sz w:val="20"/>
          <w:szCs w:val="20"/>
        </w:rPr>
        <w:t xml:space="preserve"> is performed by the dual parent nodes separately</w:t>
      </w:r>
      <w:r w:rsidR="002744D7" w:rsidRPr="00EE0F9E">
        <w:rPr>
          <w:rFonts w:ascii="Arial" w:hAnsi="Arial" w:cs="Arial"/>
          <w:sz w:val="20"/>
          <w:szCs w:val="20"/>
        </w:rPr>
        <w:t>, via independent MAC CE schedulers</w:t>
      </w:r>
      <w:r w:rsidR="00310322" w:rsidRPr="00EE0F9E">
        <w:rPr>
          <w:rFonts w:ascii="Arial" w:hAnsi="Arial" w:cs="Arial"/>
          <w:sz w:val="20"/>
          <w:szCs w:val="20"/>
        </w:rPr>
        <w:t xml:space="preserve">. </w:t>
      </w:r>
      <w:r w:rsidR="002744D7" w:rsidRPr="00EE0F9E">
        <w:rPr>
          <w:rFonts w:ascii="Arial" w:hAnsi="Arial" w:cs="Arial"/>
          <w:sz w:val="20"/>
          <w:szCs w:val="20"/>
        </w:rPr>
        <w:t xml:space="preserve">Due to the lack of </w:t>
      </w:r>
      <w:r w:rsidRPr="00EE0F9E">
        <w:rPr>
          <w:rFonts w:ascii="Arial" w:hAnsi="Arial" w:cs="Arial"/>
          <w:sz w:val="20"/>
          <w:szCs w:val="20"/>
        </w:rPr>
        <w:t xml:space="preserve">Layer-1 </w:t>
      </w:r>
      <w:r w:rsidR="002744D7" w:rsidRPr="00EE0F9E">
        <w:rPr>
          <w:rFonts w:ascii="Arial" w:hAnsi="Arial" w:cs="Arial"/>
          <w:sz w:val="20"/>
          <w:szCs w:val="20"/>
        </w:rPr>
        <w:t xml:space="preserve">coordination between the two parent IAB-nodes, </w:t>
      </w:r>
      <w:r w:rsidR="007115AA" w:rsidRPr="00EE0F9E">
        <w:rPr>
          <w:rFonts w:ascii="Arial" w:hAnsi="Arial" w:cs="Arial"/>
          <w:sz w:val="20"/>
          <w:szCs w:val="20"/>
        </w:rPr>
        <w:t>each of</w:t>
      </w:r>
      <w:r w:rsidR="002744D7" w:rsidRPr="00EE0F9E">
        <w:rPr>
          <w:rFonts w:ascii="Arial" w:hAnsi="Arial" w:cs="Arial"/>
          <w:sz w:val="20"/>
          <w:szCs w:val="20"/>
        </w:rPr>
        <w:t xml:space="preserve"> parent IAB-node is not a</w:t>
      </w:r>
      <w:r w:rsidRPr="00EE0F9E">
        <w:rPr>
          <w:rFonts w:ascii="Arial" w:hAnsi="Arial" w:cs="Arial"/>
          <w:sz w:val="20"/>
          <w:szCs w:val="20"/>
        </w:rPr>
        <w:t>ble to know</w:t>
      </w:r>
      <w:r w:rsidR="002744D7" w:rsidRPr="00EE0F9E">
        <w:rPr>
          <w:rFonts w:ascii="Arial" w:hAnsi="Arial" w:cs="Arial"/>
          <w:sz w:val="20"/>
          <w:szCs w:val="20"/>
        </w:rPr>
        <w:t xml:space="preserve"> when the peer parent IAB-node will provide a dynamic indication and the outcome of the dynamic indication. The conflict may also occur if one parent link receives semi-static re-configuration of UL/DL/F resources, while the other parent link receives dynamic </w:t>
      </w:r>
      <w:r w:rsidR="00C7448C" w:rsidRPr="00EE0F9E">
        <w:rPr>
          <w:rFonts w:ascii="Arial" w:hAnsi="Arial" w:cs="Arial"/>
          <w:sz w:val="20"/>
          <w:szCs w:val="20"/>
        </w:rPr>
        <w:t>indication</w:t>
      </w:r>
      <w:r w:rsidR="002744D7" w:rsidRPr="00EE0F9E">
        <w:rPr>
          <w:rFonts w:ascii="Arial" w:hAnsi="Arial" w:cs="Arial"/>
          <w:sz w:val="20"/>
          <w:szCs w:val="20"/>
        </w:rPr>
        <w:t xml:space="preserve"> of UL/DL direction.  </w:t>
      </w:r>
      <w:r w:rsidR="00C7448C" w:rsidRPr="00EE0F9E">
        <w:rPr>
          <w:rFonts w:ascii="Arial" w:hAnsi="Arial" w:cs="Arial"/>
          <w:sz w:val="20"/>
          <w:szCs w:val="20"/>
        </w:rPr>
        <w:t>It should be noted that</w:t>
      </w:r>
      <w:r w:rsidR="002744D7" w:rsidRPr="00EE0F9E">
        <w:rPr>
          <w:rFonts w:ascii="Arial" w:hAnsi="Arial" w:cs="Arial"/>
          <w:sz w:val="20"/>
          <w:szCs w:val="20"/>
        </w:rPr>
        <w:t xml:space="preserve"> both </w:t>
      </w:r>
      <w:r w:rsidR="00793FEA" w:rsidRPr="00EE0F9E">
        <w:rPr>
          <w:rFonts w:ascii="Arial" w:hAnsi="Arial" w:cs="Arial"/>
          <w:sz w:val="20"/>
          <w:szCs w:val="20"/>
        </w:rPr>
        <w:t>in inter-donor-DC and intra-donor-DC, t</w:t>
      </w:r>
      <w:r w:rsidR="00310322" w:rsidRPr="00EE0F9E">
        <w:rPr>
          <w:rFonts w:ascii="Arial" w:hAnsi="Arial" w:cs="Arial"/>
          <w:sz w:val="20"/>
          <w:szCs w:val="20"/>
        </w:rPr>
        <w:t xml:space="preserve">o minimize the transmission direction collision due to </w:t>
      </w:r>
      <w:r w:rsidR="00793FEA" w:rsidRPr="00EE0F9E">
        <w:rPr>
          <w:rFonts w:ascii="Arial" w:hAnsi="Arial" w:cs="Arial"/>
          <w:sz w:val="20"/>
          <w:szCs w:val="20"/>
        </w:rPr>
        <w:t xml:space="preserve">semi-static configuration and/or </w:t>
      </w:r>
      <w:r w:rsidR="00310322" w:rsidRPr="00EE0F9E">
        <w:rPr>
          <w:rFonts w:ascii="Arial" w:hAnsi="Arial" w:cs="Arial"/>
          <w:sz w:val="20"/>
          <w:szCs w:val="20"/>
        </w:rPr>
        <w:t xml:space="preserve">dynamic indication, it is beneficial to share the </w:t>
      </w:r>
      <w:r w:rsidR="007115AA" w:rsidRPr="00EE0F9E">
        <w:rPr>
          <w:rFonts w:ascii="Arial" w:hAnsi="Arial" w:cs="Arial"/>
          <w:sz w:val="20"/>
          <w:szCs w:val="20"/>
        </w:rPr>
        <w:t>semi-static</w:t>
      </w:r>
      <w:r w:rsidR="00310322" w:rsidRPr="00EE0F9E">
        <w:rPr>
          <w:rFonts w:ascii="Arial" w:hAnsi="Arial" w:cs="Arial"/>
          <w:sz w:val="20"/>
          <w:szCs w:val="20"/>
        </w:rPr>
        <w:t xml:space="preserve"> resource configurations between the parent nodes. For example, this can be achieved by the </w:t>
      </w:r>
      <w:r w:rsidR="00E6365D" w:rsidRPr="00EE0F9E">
        <w:rPr>
          <w:rFonts w:ascii="Arial" w:hAnsi="Arial" w:cs="Arial"/>
          <w:sz w:val="20"/>
          <w:szCs w:val="20"/>
        </w:rPr>
        <w:t>IAB-</w:t>
      </w:r>
      <w:r w:rsidR="00310322" w:rsidRPr="00EE0F9E">
        <w:rPr>
          <w:rFonts w:ascii="Arial" w:hAnsi="Arial" w:cs="Arial"/>
          <w:sz w:val="20"/>
          <w:szCs w:val="20"/>
        </w:rPr>
        <w:t xml:space="preserve">donor-CU providing to a parent </w:t>
      </w:r>
      <w:r w:rsidR="00372F40" w:rsidRPr="00EE0F9E">
        <w:rPr>
          <w:rFonts w:ascii="Arial" w:hAnsi="Arial" w:cs="Arial"/>
          <w:sz w:val="20"/>
          <w:szCs w:val="20"/>
        </w:rPr>
        <w:t>IAB-</w:t>
      </w:r>
      <w:r w:rsidR="00310322" w:rsidRPr="00EE0F9E">
        <w:rPr>
          <w:rFonts w:ascii="Arial" w:hAnsi="Arial" w:cs="Arial"/>
          <w:sz w:val="20"/>
          <w:szCs w:val="20"/>
        </w:rPr>
        <w:t xml:space="preserve">node the DU resource configurations of </w:t>
      </w:r>
      <w:r w:rsidR="00CD772E" w:rsidRPr="00EE0F9E">
        <w:rPr>
          <w:rFonts w:ascii="Arial" w:hAnsi="Arial" w:cs="Arial"/>
          <w:sz w:val="20"/>
          <w:szCs w:val="20"/>
        </w:rPr>
        <w:t>the other peer parent node that connects to the same IAB-node.</w:t>
      </w:r>
    </w:p>
    <w:p w14:paraId="69118775" w14:textId="7B27867C" w:rsidR="00CD772E" w:rsidRDefault="002C0134" w:rsidP="007300CA">
      <w:pPr>
        <w:pStyle w:val="Proposal"/>
      </w:pPr>
      <w:bookmarkStart w:id="104" w:name="_Toc71636891"/>
      <w:bookmarkStart w:id="105" w:name="_Toc71637098"/>
      <w:bookmarkStart w:id="106" w:name="_Toc71647928"/>
      <w:bookmarkStart w:id="107" w:name="_Toc71636892"/>
      <w:bookmarkStart w:id="108" w:name="_Toc71637099"/>
      <w:bookmarkStart w:id="109" w:name="_Toc71647929"/>
      <w:bookmarkStart w:id="110" w:name="_Toc71663412"/>
      <w:bookmarkEnd w:id="104"/>
      <w:bookmarkEnd w:id="105"/>
      <w:bookmarkEnd w:id="106"/>
      <w:bookmarkEnd w:id="107"/>
      <w:bookmarkEnd w:id="108"/>
      <w:bookmarkEnd w:id="109"/>
      <w:r w:rsidRPr="00836D13">
        <w:t>In intra-donor-DC and inter-donor-DC operations, a</w:t>
      </w:r>
      <w:r w:rsidR="00CD772E" w:rsidRPr="00836D13">
        <w:t xml:space="preserve"> parent-node can be made aware of the DU resource configuration of the other peer parent node that connects to the same IAB-node.</w:t>
      </w:r>
      <w:bookmarkEnd w:id="110"/>
    </w:p>
    <w:p w14:paraId="4E19804A" w14:textId="10BCB2CE" w:rsidR="00C01F33" w:rsidRPr="00C0217E" w:rsidRDefault="00C01F33" w:rsidP="00836D13">
      <w:pPr>
        <w:pStyle w:val="Heading1"/>
      </w:pPr>
      <w:bookmarkStart w:id="111" w:name="_Toc71634600"/>
      <w:bookmarkStart w:id="112" w:name="_Toc71634676"/>
      <w:bookmarkStart w:id="113" w:name="_Toc71634764"/>
      <w:bookmarkStart w:id="114" w:name="_Toc71634835"/>
      <w:bookmarkStart w:id="115" w:name="_Toc71634998"/>
      <w:bookmarkStart w:id="116" w:name="_Toc71635291"/>
      <w:bookmarkStart w:id="117" w:name="_Toc71635340"/>
      <w:bookmarkStart w:id="118" w:name="_Toc71635404"/>
      <w:bookmarkStart w:id="119" w:name="_Toc71635533"/>
      <w:bookmarkStart w:id="120" w:name="_Toc71635593"/>
      <w:bookmarkStart w:id="121" w:name="_Toc71635728"/>
      <w:bookmarkStart w:id="122" w:name="_Toc71635809"/>
      <w:bookmarkStart w:id="123" w:name="_Toc71635858"/>
      <w:bookmarkStart w:id="124" w:name="_Toc71636151"/>
      <w:bookmarkStart w:id="125" w:name="_Toc71636212"/>
      <w:bookmarkStart w:id="126" w:name="_Toc71636648"/>
      <w:bookmarkStart w:id="127" w:name="_Toc71636722"/>
      <w:bookmarkStart w:id="128" w:name="_Toc71634601"/>
      <w:bookmarkStart w:id="129" w:name="_Toc71634677"/>
      <w:bookmarkStart w:id="130" w:name="_Toc71634765"/>
      <w:bookmarkStart w:id="131" w:name="_Toc71634836"/>
      <w:bookmarkStart w:id="132" w:name="_Toc71634999"/>
      <w:bookmarkStart w:id="133" w:name="_Toc71635292"/>
      <w:bookmarkStart w:id="134" w:name="_Toc71635341"/>
      <w:bookmarkStart w:id="135" w:name="_Toc71635405"/>
      <w:bookmarkStart w:id="136" w:name="_Toc71635534"/>
      <w:bookmarkStart w:id="137" w:name="_Toc71635594"/>
      <w:bookmarkStart w:id="138" w:name="_Toc71635729"/>
      <w:bookmarkStart w:id="139" w:name="_Toc71635810"/>
      <w:bookmarkStart w:id="140" w:name="_Toc71635859"/>
      <w:bookmarkStart w:id="141" w:name="_Toc71636152"/>
      <w:bookmarkStart w:id="142" w:name="_Toc71636213"/>
      <w:bookmarkStart w:id="143" w:name="_Toc71636649"/>
      <w:bookmarkStart w:id="144" w:name="_Toc71636723"/>
      <w:bookmarkStart w:id="145" w:name="_Toc71634602"/>
      <w:bookmarkStart w:id="146" w:name="_Toc71634678"/>
      <w:bookmarkStart w:id="147" w:name="_Toc71634766"/>
      <w:bookmarkStart w:id="148" w:name="_Toc71634837"/>
      <w:bookmarkStart w:id="149" w:name="_Toc71635000"/>
      <w:bookmarkStart w:id="150" w:name="_Toc71635293"/>
      <w:bookmarkStart w:id="151" w:name="_Toc71635342"/>
      <w:bookmarkStart w:id="152" w:name="_Toc71635406"/>
      <w:bookmarkStart w:id="153" w:name="_Toc71635535"/>
      <w:bookmarkStart w:id="154" w:name="_Toc71635595"/>
      <w:bookmarkStart w:id="155" w:name="_Toc71635730"/>
      <w:bookmarkStart w:id="156" w:name="_Toc71635811"/>
      <w:bookmarkStart w:id="157" w:name="_Toc71635860"/>
      <w:bookmarkStart w:id="158" w:name="_Toc71636153"/>
      <w:bookmarkStart w:id="159" w:name="_Toc71636214"/>
      <w:bookmarkStart w:id="160" w:name="_Toc71636650"/>
      <w:bookmarkStart w:id="161" w:name="_Toc71636724"/>
      <w:bookmarkStart w:id="162" w:name="_Toc71634603"/>
      <w:bookmarkStart w:id="163" w:name="_Toc71634679"/>
      <w:bookmarkStart w:id="164" w:name="_Toc71634767"/>
      <w:bookmarkStart w:id="165" w:name="_Toc71634838"/>
      <w:bookmarkStart w:id="166" w:name="_Toc71635001"/>
      <w:bookmarkStart w:id="167" w:name="_Toc71635294"/>
      <w:bookmarkStart w:id="168" w:name="_Toc71635343"/>
      <w:bookmarkStart w:id="169" w:name="_Toc71635407"/>
      <w:bookmarkStart w:id="170" w:name="_Toc71635536"/>
      <w:bookmarkStart w:id="171" w:name="_Toc71635596"/>
      <w:bookmarkStart w:id="172" w:name="_Toc71635731"/>
      <w:bookmarkStart w:id="173" w:name="_Toc71635812"/>
      <w:bookmarkStart w:id="174" w:name="_Toc71635861"/>
      <w:bookmarkStart w:id="175" w:name="_Toc71636154"/>
      <w:bookmarkStart w:id="176" w:name="_Toc71636215"/>
      <w:bookmarkStart w:id="177" w:name="_Toc71636651"/>
      <w:bookmarkStart w:id="178" w:name="_Toc71636725"/>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836D13">
        <w:t>Conclusion</w:t>
      </w:r>
    </w:p>
    <w:p w14:paraId="435B8182" w14:textId="77777777" w:rsidR="008E065E" w:rsidRPr="00836D13" w:rsidRDefault="008E065E" w:rsidP="00301FA3">
      <w:pPr>
        <w:jc w:val="both"/>
        <w:rPr>
          <w:rFonts w:ascii="Arial" w:hAnsi="Arial" w:cs="Arial"/>
          <w:sz w:val="20"/>
          <w:szCs w:val="20"/>
          <w:lang w:val="en-GB"/>
        </w:rPr>
      </w:pPr>
      <w:r w:rsidRPr="00836D13">
        <w:rPr>
          <w:rFonts w:ascii="Arial" w:hAnsi="Arial" w:cs="Arial"/>
          <w:sz w:val="20"/>
          <w:szCs w:val="20"/>
          <w:lang w:val="en-GB"/>
        </w:rPr>
        <w:t xml:space="preserve">In </w:t>
      </w:r>
      <w:r w:rsidR="007729A2" w:rsidRPr="00836D13">
        <w:rPr>
          <w:rFonts w:ascii="Arial" w:hAnsi="Arial" w:cs="Arial"/>
          <w:sz w:val="20"/>
          <w:szCs w:val="20"/>
          <w:lang w:val="en-GB"/>
        </w:rPr>
        <w:t xml:space="preserve">the previous </w:t>
      </w:r>
      <w:r w:rsidRPr="00836D13">
        <w:rPr>
          <w:rFonts w:ascii="Arial" w:hAnsi="Arial" w:cs="Arial"/>
          <w:sz w:val="20"/>
          <w:szCs w:val="20"/>
          <w:lang w:val="en-GB"/>
        </w:rPr>
        <w:t>section</w:t>
      </w:r>
      <w:r w:rsidR="007729A2" w:rsidRPr="00836D13">
        <w:rPr>
          <w:rFonts w:ascii="Arial" w:hAnsi="Arial" w:cs="Arial"/>
          <w:sz w:val="20"/>
          <w:szCs w:val="20"/>
          <w:lang w:val="en-GB"/>
        </w:rPr>
        <w:t>s</w:t>
      </w:r>
      <w:r w:rsidRPr="00836D13">
        <w:rPr>
          <w:rFonts w:ascii="Arial" w:hAnsi="Arial" w:cs="Arial"/>
          <w:sz w:val="20"/>
          <w:szCs w:val="20"/>
          <w:lang w:val="en-GB"/>
        </w:rPr>
        <w:t xml:space="preserve"> we made the following observations:</w:t>
      </w:r>
      <w:r w:rsidR="00C93814" w:rsidRPr="00836D13">
        <w:rPr>
          <w:rFonts w:ascii="Arial" w:hAnsi="Arial" w:cs="Arial"/>
          <w:sz w:val="20"/>
          <w:szCs w:val="20"/>
          <w:lang w:val="en-GB"/>
        </w:rPr>
        <w:t xml:space="preserve"> </w:t>
      </w:r>
    </w:p>
    <w:p w14:paraId="6305746C" w14:textId="77777777" w:rsidR="00301FA3" w:rsidRDefault="006F6582" w:rsidP="00301FA3">
      <w:pPr>
        <w:pStyle w:val="TableofFigures"/>
        <w:tabs>
          <w:tab w:val="right" w:leader="dot" w:pos="9629"/>
        </w:tabs>
        <w:jc w:val="both"/>
        <w:rPr>
          <w:rFonts w:eastAsiaTheme="minorEastAsia"/>
          <w:b w:val="0"/>
          <w:noProof/>
          <w:lang w:val="sv-SE" w:eastAsia="sv-SE"/>
        </w:rPr>
      </w:pPr>
      <w:r w:rsidRPr="00C75E69">
        <w:fldChar w:fldCharType="begin"/>
      </w:r>
      <w:r w:rsidRPr="00C75E69">
        <w:rPr>
          <w:bCs/>
          <w:lang w:val="en-GB"/>
        </w:rPr>
        <w:instrText xml:space="preserve"> TOC \f O \n \h \z \t "Observation" \c </w:instrText>
      </w:r>
      <w:r w:rsidRPr="00C75E69">
        <w:fldChar w:fldCharType="separate"/>
      </w:r>
      <w:hyperlink w:anchor="_Toc71663376" w:history="1">
        <w:r w:rsidR="00301FA3" w:rsidRPr="004B542F">
          <w:rPr>
            <w:rStyle w:val="Hyperlink"/>
            <w:noProof/>
          </w:rPr>
          <w:t>Observation 1</w:t>
        </w:r>
        <w:r w:rsidR="00301FA3">
          <w:rPr>
            <w:rFonts w:eastAsiaTheme="minorEastAsia"/>
            <w:b w:val="0"/>
            <w:noProof/>
            <w:lang w:val="sv-SE" w:eastAsia="sv-SE"/>
          </w:rPr>
          <w:tab/>
        </w:r>
        <w:r w:rsidR="00301FA3" w:rsidRPr="004B542F">
          <w:rPr>
            <w:rStyle w:val="Hyperlink"/>
            <w:noProof/>
          </w:rPr>
          <w:t>It is beneficial to align H/S/NA allocation to UE scheduling, which is based on RBGs.</w:t>
        </w:r>
      </w:hyperlink>
    </w:p>
    <w:p w14:paraId="63504739"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377" w:history="1">
        <w:r w:rsidRPr="004B542F">
          <w:rPr>
            <w:rStyle w:val="Hyperlink"/>
            <w:noProof/>
          </w:rPr>
          <w:t>Observation 2</w:t>
        </w:r>
        <w:r>
          <w:rPr>
            <w:rFonts w:eastAsiaTheme="minorEastAsia"/>
            <w:b w:val="0"/>
            <w:noProof/>
            <w:lang w:val="sv-SE" w:eastAsia="sv-SE"/>
          </w:rPr>
          <w:tab/>
        </w:r>
        <w:r w:rsidRPr="004B542F">
          <w:rPr>
            <w:rStyle w:val="Hyperlink"/>
            <w:noProof/>
          </w:rPr>
          <w:t>If the IAB-DU is made responsible to allocating the guard band within Hard or S-IA resources, the control of the guard band is entirely contained within the IAB-node itself. Therefore, no signalling is required.</w:t>
        </w:r>
      </w:hyperlink>
    </w:p>
    <w:p w14:paraId="19C93671"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378" w:history="1">
        <w:r w:rsidRPr="004B542F">
          <w:rPr>
            <w:rStyle w:val="Hyperlink"/>
            <w:noProof/>
          </w:rPr>
          <w:t>Observation 3</w:t>
        </w:r>
        <w:r>
          <w:rPr>
            <w:rFonts w:eastAsiaTheme="minorEastAsia"/>
            <w:b w:val="0"/>
            <w:noProof/>
            <w:lang w:val="sv-SE" w:eastAsia="sv-SE"/>
          </w:rPr>
          <w:tab/>
        </w:r>
        <w:r w:rsidRPr="004B542F">
          <w:rPr>
            <w:rStyle w:val="Hyperlink"/>
            <w:noProof/>
          </w:rPr>
          <w:t>Multiplexing capabilities can change with time due to, e.g., changing channel conditions.</w:t>
        </w:r>
      </w:hyperlink>
    </w:p>
    <w:p w14:paraId="573A53A2"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379" w:history="1">
        <w:r w:rsidRPr="004B542F">
          <w:rPr>
            <w:rStyle w:val="Hyperlink"/>
            <w:noProof/>
          </w:rPr>
          <w:t>Observation 4</w:t>
        </w:r>
        <w:r>
          <w:rPr>
            <w:rFonts w:eastAsiaTheme="minorEastAsia"/>
            <w:b w:val="0"/>
            <w:noProof/>
            <w:lang w:val="sv-SE" w:eastAsia="sv-SE"/>
          </w:rPr>
          <w:tab/>
        </w:r>
        <w:r w:rsidRPr="004B542F">
          <w:rPr>
            <w:rStyle w:val="Hyperlink"/>
            <w:noProof/>
          </w:rPr>
          <w:t xml:space="preserve">For explicit availability indication of frequency-domain Soft resources, support joint indication of time and frequency Soft resources, including reusing the Rel-16 </w:t>
        </w:r>
        <w:r w:rsidRPr="004B542F">
          <w:rPr>
            <w:rStyle w:val="Hyperlink"/>
            <w:i/>
            <w:noProof/>
          </w:rPr>
          <w:t>availabilityCombinations</w:t>
        </w:r>
        <w:r w:rsidRPr="004B542F">
          <w:rPr>
            <w:rStyle w:val="Hyperlink"/>
            <w:noProof/>
          </w:rPr>
          <w:t>.</w:t>
        </w:r>
      </w:hyperlink>
    </w:p>
    <w:p w14:paraId="73A74BBC"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380" w:history="1">
        <w:r w:rsidRPr="004B542F">
          <w:rPr>
            <w:rStyle w:val="Hyperlink"/>
            <w:noProof/>
          </w:rPr>
          <w:t>Observation 5</w:t>
        </w:r>
        <w:r>
          <w:rPr>
            <w:rFonts w:eastAsiaTheme="minorEastAsia"/>
            <w:b w:val="0"/>
            <w:noProof/>
            <w:lang w:val="sv-SE" w:eastAsia="sv-SE"/>
          </w:rPr>
          <w:tab/>
        </w:r>
        <w:r w:rsidRPr="004B542F">
          <w:rPr>
            <w:rStyle w:val="Hyperlink"/>
            <w:noProof/>
            <w:spacing w:val="2"/>
          </w:rPr>
          <w:t>SDM-based simultaneous operation must address the case with potentially interfering IAB-DU and IAB-MT links.</w:t>
        </w:r>
      </w:hyperlink>
    </w:p>
    <w:p w14:paraId="74115BFC"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381" w:history="1">
        <w:r w:rsidRPr="004B542F">
          <w:rPr>
            <w:rStyle w:val="Hyperlink"/>
            <w:noProof/>
          </w:rPr>
          <w:t>Observation 6</w:t>
        </w:r>
        <w:r>
          <w:rPr>
            <w:rFonts w:eastAsiaTheme="minorEastAsia"/>
            <w:b w:val="0"/>
            <w:noProof/>
            <w:lang w:val="sv-SE" w:eastAsia="sv-SE"/>
          </w:rPr>
          <w:tab/>
        </w:r>
        <w:r w:rsidRPr="004B542F">
          <w:rPr>
            <w:rStyle w:val="Hyperlink"/>
            <w:noProof/>
            <w:spacing w:val="2"/>
          </w:rPr>
          <w:t>Using FDM (and TDM for IAB nodes that do not require TDM) H/S/NA resource configuration, Soft resources can be used for SDM simultaneous operation with implicit indication and is analog to Rel-16 H/S/NA specification.</w:t>
        </w:r>
      </w:hyperlink>
    </w:p>
    <w:p w14:paraId="5902D9F1"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382" w:history="1">
        <w:r w:rsidRPr="004B542F">
          <w:rPr>
            <w:rStyle w:val="Hyperlink"/>
            <w:noProof/>
          </w:rPr>
          <w:t>Observation 7</w:t>
        </w:r>
        <w:r>
          <w:rPr>
            <w:rFonts w:eastAsiaTheme="minorEastAsia"/>
            <w:b w:val="0"/>
            <w:noProof/>
            <w:lang w:val="sv-SE" w:eastAsia="sv-SE"/>
          </w:rPr>
          <w:tab/>
        </w:r>
        <w:r w:rsidRPr="004B542F">
          <w:rPr>
            <w:rStyle w:val="Hyperlink"/>
            <w:noProof/>
            <w:spacing w:val="2"/>
          </w:rPr>
          <w:t>Determination of restricted beams in SDM is left for implementation.</w:t>
        </w:r>
      </w:hyperlink>
    </w:p>
    <w:p w14:paraId="5D6FD514"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383" w:history="1">
        <w:r w:rsidRPr="004B542F">
          <w:rPr>
            <w:rStyle w:val="Hyperlink"/>
            <w:noProof/>
          </w:rPr>
          <w:t>Observation 8</w:t>
        </w:r>
        <w:r>
          <w:rPr>
            <w:rFonts w:eastAsiaTheme="minorEastAsia"/>
            <w:b w:val="0"/>
            <w:noProof/>
            <w:lang w:val="sv-SE" w:eastAsia="sv-SE"/>
          </w:rPr>
          <w:tab/>
        </w:r>
        <w:r w:rsidRPr="004B542F">
          <w:rPr>
            <w:rStyle w:val="Hyperlink"/>
            <w:noProof/>
          </w:rPr>
          <w:t xml:space="preserve">The IAB-specific SSB is </w:t>
        </w:r>
        <w:r w:rsidRPr="004B542F">
          <w:rPr>
            <w:rStyle w:val="Hyperlink"/>
            <w:noProof/>
            <w:spacing w:val="2"/>
          </w:rPr>
          <w:t>designed and developed for inter-IAB node discovery and measurement,</w:t>
        </w:r>
        <w:r w:rsidRPr="004B542F">
          <w:rPr>
            <w:rStyle w:val="Hyperlink"/>
            <w:noProof/>
          </w:rPr>
          <w:t xml:space="preserve"> making it suitable for determination of restricted beams in SDM with little or no overhead.</w:t>
        </w:r>
      </w:hyperlink>
    </w:p>
    <w:p w14:paraId="264E5B00"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384" w:history="1">
        <w:r w:rsidRPr="004B542F">
          <w:rPr>
            <w:rStyle w:val="Hyperlink"/>
            <w:noProof/>
          </w:rPr>
          <w:t>Observation 9</w:t>
        </w:r>
        <w:r>
          <w:rPr>
            <w:rFonts w:eastAsiaTheme="minorEastAsia"/>
            <w:b w:val="0"/>
            <w:noProof/>
            <w:lang w:val="sv-SE" w:eastAsia="sv-SE"/>
          </w:rPr>
          <w:tab/>
        </w:r>
        <w:r w:rsidRPr="004B542F">
          <w:rPr>
            <w:rStyle w:val="Hyperlink"/>
            <w:noProof/>
          </w:rPr>
          <w:t>Enabling SDM simultaneous operation in implicitly indicated Soft resources would make Soft a natural default resource configuration.</w:t>
        </w:r>
      </w:hyperlink>
    </w:p>
    <w:p w14:paraId="2705D6B5"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385" w:history="1">
        <w:r w:rsidRPr="004B542F">
          <w:rPr>
            <w:rStyle w:val="Hyperlink"/>
            <w:noProof/>
          </w:rPr>
          <w:t>Observation 10</w:t>
        </w:r>
        <w:r>
          <w:rPr>
            <w:rFonts w:eastAsiaTheme="minorEastAsia"/>
            <w:b w:val="0"/>
            <w:noProof/>
            <w:lang w:val="sv-SE" w:eastAsia="sv-SE"/>
          </w:rPr>
          <w:tab/>
        </w:r>
        <w:r w:rsidRPr="004B542F">
          <w:rPr>
            <w:rStyle w:val="Hyperlink"/>
            <w:noProof/>
            <w:spacing w:val="2"/>
          </w:rPr>
          <w:t>In SDM simultaneous operation, beams, serving child IAB nodes or UEs, that are interfering with the beam serving the parent IAB node may be scheduled in Hard resources.</w:t>
        </w:r>
      </w:hyperlink>
    </w:p>
    <w:p w14:paraId="260AB113"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386" w:history="1">
        <w:r w:rsidRPr="004B542F">
          <w:rPr>
            <w:rStyle w:val="Hyperlink"/>
            <w:noProof/>
          </w:rPr>
          <w:t>Observation 11</w:t>
        </w:r>
        <w:r>
          <w:rPr>
            <w:rFonts w:eastAsiaTheme="minorEastAsia"/>
            <w:b w:val="0"/>
            <w:noProof/>
            <w:lang w:val="sv-SE" w:eastAsia="sv-SE"/>
          </w:rPr>
          <w:tab/>
        </w:r>
        <w:r w:rsidRPr="004B542F">
          <w:rPr>
            <w:rStyle w:val="Hyperlink"/>
            <w:noProof/>
          </w:rPr>
          <w:t>For inter-carrier DC, multiple parent nodes can already signal DCI format 2_5 to the IAB-MT independently, with respect to the same IAB-DU cell.</w:t>
        </w:r>
      </w:hyperlink>
    </w:p>
    <w:p w14:paraId="0E4824A3" w14:textId="0337FF25" w:rsidR="006E1C82" w:rsidRPr="00C75E69" w:rsidRDefault="006F6582" w:rsidP="00301FA3">
      <w:pPr>
        <w:pStyle w:val="BodyText"/>
        <w:jc w:val="both"/>
      </w:pPr>
      <w:r w:rsidRPr="00C75E69">
        <w:fldChar w:fldCharType="end"/>
      </w:r>
    </w:p>
    <w:p w14:paraId="00B23764" w14:textId="77777777" w:rsidR="006E1C82" w:rsidRPr="00877A84" w:rsidRDefault="008E065E" w:rsidP="00301FA3">
      <w:pPr>
        <w:pStyle w:val="BodyText"/>
        <w:jc w:val="both"/>
        <w:rPr>
          <w:rFonts w:ascii="Arial" w:hAnsi="Arial" w:cs="Arial"/>
          <w:sz w:val="20"/>
          <w:szCs w:val="20"/>
          <w:lang w:val="en-GB"/>
        </w:rPr>
      </w:pPr>
      <w:r w:rsidRPr="00877A84">
        <w:rPr>
          <w:rFonts w:ascii="Arial" w:hAnsi="Arial" w:cs="Arial"/>
          <w:sz w:val="20"/>
          <w:szCs w:val="20"/>
          <w:lang w:val="en-GB"/>
        </w:rPr>
        <w:t xml:space="preserve">Based on the discussion in </w:t>
      </w:r>
      <w:r w:rsidR="007729A2" w:rsidRPr="00877A84">
        <w:rPr>
          <w:rFonts w:ascii="Arial" w:hAnsi="Arial" w:cs="Arial"/>
          <w:sz w:val="20"/>
          <w:szCs w:val="20"/>
          <w:lang w:val="en-GB"/>
        </w:rPr>
        <w:t xml:space="preserve">the previous </w:t>
      </w:r>
      <w:r w:rsidRPr="00877A84">
        <w:rPr>
          <w:rFonts w:ascii="Arial" w:hAnsi="Arial" w:cs="Arial"/>
          <w:sz w:val="20"/>
          <w:szCs w:val="20"/>
          <w:lang w:val="en-GB"/>
        </w:rPr>
        <w:t>section</w:t>
      </w:r>
      <w:r w:rsidR="007729A2" w:rsidRPr="00877A84">
        <w:rPr>
          <w:rFonts w:ascii="Arial" w:hAnsi="Arial" w:cs="Arial"/>
          <w:sz w:val="20"/>
          <w:szCs w:val="20"/>
          <w:lang w:val="en-GB"/>
        </w:rPr>
        <w:t>s</w:t>
      </w:r>
      <w:r w:rsidRPr="00877A84">
        <w:rPr>
          <w:rFonts w:ascii="Arial" w:hAnsi="Arial" w:cs="Arial"/>
          <w:sz w:val="20"/>
          <w:szCs w:val="20"/>
          <w:lang w:val="en-GB"/>
        </w:rPr>
        <w:t xml:space="preserve"> we propose the following:</w:t>
      </w:r>
    </w:p>
    <w:p w14:paraId="04508BEF" w14:textId="77777777" w:rsidR="00301FA3" w:rsidRDefault="006E1C82" w:rsidP="00301FA3">
      <w:pPr>
        <w:pStyle w:val="TableofFigures"/>
        <w:tabs>
          <w:tab w:val="right" w:leader="dot" w:pos="9629"/>
        </w:tabs>
        <w:jc w:val="both"/>
        <w:rPr>
          <w:rFonts w:eastAsiaTheme="minorEastAsia"/>
          <w:b w:val="0"/>
          <w:noProof/>
          <w:lang w:val="sv-SE" w:eastAsia="sv-SE"/>
        </w:rPr>
      </w:pPr>
      <w:r w:rsidRPr="00C75E69">
        <w:fldChar w:fldCharType="begin"/>
      </w:r>
      <w:r w:rsidRPr="00C75E69">
        <w:rPr>
          <w:bCs/>
          <w:lang w:val="en-GB"/>
        </w:rPr>
        <w:instrText xml:space="preserve"> TOC \n \h \z \t "Proposal" \c </w:instrText>
      </w:r>
      <w:r w:rsidRPr="00C75E69">
        <w:fldChar w:fldCharType="separate"/>
      </w:r>
      <w:hyperlink w:anchor="_Toc71663387" w:history="1">
        <w:r w:rsidR="00301FA3" w:rsidRPr="001C0466">
          <w:rPr>
            <w:rStyle w:val="Hyperlink"/>
            <w:noProof/>
          </w:rPr>
          <w:t>Proposal 1</w:t>
        </w:r>
        <w:r w:rsidR="00301FA3">
          <w:rPr>
            <w:rFonts w:eastAsiaTheme="minorEastAsia"/>
            <w:b w:val="0"/>
            <w:noProof/>
            <w:lang w:val="sv-SE" w:eastAsia="sv-SE"/>
          </w:rPr>
          <w:tab/>
        </w:r>
        <w:r w:rsidR="00301FA3" w:rsidRPr="001C0466">
          <w:rPr>
            <w:rStyle w:val="Hyperlink"/>
            <w:noProof/>
          </w:rPr>
          <w:t>The frequency-domain H/S/NA is indicated per IAB-RBG, the size of which contains integer multiples N of the RBG size configured for access UE frequency-domain resource allocation. FFS: The value of N</w:t>
        </w:r>
      </w:hyperlink>
    </w:p>
    <w:p w14:paraId="2114FC8F"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388" w:history="1">
        <w:r w:rsidRPr="001C0466">
          <w:rPr>
            <w:rStyle w:val="Hyperlink"/>
            <w:noProof/>
          </w:rPr>
          <w:t>Proposal 2</w:t>
        </w:r>
        <w:r>
          <w:rPr>
            <w:rFonts w:eastAsiaTheme="minorEastAsia"/>
            <w:b w:val="0"/>
            <w:noProof/>
            <w:lang w:val="sv-SE" w:eastAsia="sv-SE"/>
          </w:rPr>
          <w:tab/>
        </w:r>
        <w:r w:rsidRPr="001C0466">
          <w:rPr>
            <w:rStyle w:val="Hyperlink"/>
            <w:noProof/>
          </w:rPr>
          <w:t>If a resource is configured as Hard, the IAB-DU can transmit, receive, or either transmit or receive according to its configuration only if it does not impact the IAB-MT’s actual ability to operate in any other resource according to the configuration of that resource.</w:t>
        </w:r>
      </w:hyperlink>
    </w:p>
    <w:p w14:paraId="3D29BE49"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389" w:history="1">
        <w:r w:rsidRPr="001C0466">
          <w:rPr>
            <w:rStyle w:val="Hyperlink"/>
            <w:noProof/>
          </w:rPr>
          <w:t>FFS: How to address the Soft Indicated Available IAB-DU resources.</w:t>
        </w:r>
      </w:hyperlink>
    </w:p>
    <w:p w14:paraId="0575C32D"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390" w:history="1">
        <w:r w:rsidRPr="001C0466">
          <w:rPr>
            <w:rStyle w:val="Hyperlink"/>
            <w:noProof/>
          </w:rPr>
          <w:t>Proposal 3</w:t>
        </w:r>
        <w:r>
          <w:rPr>
            <w:rFonts w:eastAsiaTheme="minorEastAsia"/>
            <w:b w:val="0"/>
            <w:noProof/>
            <w:lang w:val="sv-SE" w:eastAsia="sv-SE"/>
          </w:rPr>
          <w:tab/>
        </w:r>
        <w:r w:rsidRPr="001C0466">
          <w:rPr>
            <w:rStyle w:val="Hyperlink"/>
            <w:noProof/>
          </w:rPr>
          <w:t>Time-domain H/S/NA configuration is always provided to the IAB-node even if ”TDM not required” is indicated to the IAB-donor-CU.</w:t>
        </w:r>
      </w:hyperlink>
    </w:p>
    <w:p w14:paraId="11CD41DC"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391" w:history="1">
        <w:r w:rsidRPr="001C0466">
          <w:rPr>
            <w:rStyle w:val="Hyperlink"/>
            <w:noProof/>
          </w:rPr>
          <w:t>Proposal 4</w:t>
        </w:r>
        <w:r>
          <w:rPr>
            <w:rFonts w:eastAsiaTheme="minorEastAsia"/>
            <w:b w:val="0"/>
            <w:noProof/>
            <w:lang w:val="sv-SE" w:eastAsia="sv-SE"/>
          </w:rPr>
          <w:tab/>
        </w:r>
        <w:r w:rsidRPr="001C0466">
          <w:rPr>
            <w:rStyle w:val="Hyperlink"/>
            <w:noProof/>
          </w:rPr>
          <w:t>Support separate TDM and FDM configurations in an IAB-node.</w:t>
        </w:r>
      </w:hyperlink>
    </w:p>
    <w:p w14:paraId="0A64445B"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392" w:history="1">
        <w:r w:rsidRPr="001C0466">
          <w:rPr>
            <w:rStyle w:val="Hyperlink"/>
            <w:noProof/>
          </w:rPr>
          <w:t>Proposal 5</w:t>
        </w:r>
        <w:r>
          <w:rPr>
            <w:rFonts w:eastAsiaTheme="minorEastAsia"/>
            <w:b w:val="0"/>
            <w:noProof/>
            <w:lang w:val="sv-SE" w:eastAsia="sv-SE"/>
          </w:rPr>
          <w:tab/>
        </w:r>
        <w:r w:rsidRPr="001C0466">
          <w:rPr>
            <w:rStyle w:val="Hyperlink"/>
            <w:noProof/>
          </w:rPr>
          <w:t>Support operation in either TDM or FDM modes on a per-slot basis.</w:t>
        </w:r>
      </w:hyperlink>
    </w:p>
    <w:p w14:paraId="439F09B6"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393" w:history="1">
        <w:r w:rsidRPr="001C0466">
          <w:rPr>
            <w:rStyle w:val="Hyperlink"/>
            <w:noProof/>
          </w:rPr>
          <w:t>Proposal 6</w:t>
        </w:r>
        <w:r>
          <w:rPr>
            <w:rFonts w:eastAsiaTheme="minorEastAsia"/>
            <w:b w:val="0"/>
            <w:noProof/>
            <w:lang w:val="sv-SE" w:eastAsia="sv-SE"/>
          </w:rPr>
          <w:tab/>
        </w:r>
        <w:r w:rsidRPr="001C0466">
          <w:rPr>
            <w:rStyle w:val="Hyperlink"/>
            <w:noProof/>
          </w:rPr>
          <w:t>An IAB-node which has indicated “TDM not required” to the IAB-donor-CU is at least provided with an additional frequency-domain H/S/NA configuration.</w:t>
        </w:r>
      </w:hyperlink>
    </w:p>
    <w:p w14:paraId="47445CDD"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394" w:history="1">
        <w:r w:rsidRPr="001C0466">
          <w:rPr>
            <w:rStyle w:val="Hyperlink"/>
            <w:noProof/>
          </w:rPr>
          <w:t>Proposal 7</w:t>
        </w:r>
        <w:r>
          <w:rPr>
            <w:rFonts w:eastAsiaTheme="minorEastAsia"/>
            <w:b w:val="0"/>
            <w:noProof/>
            <w:lang w:val="sv-SE" w:eastAsia="sv-SE"/>
          </w:rPr>
          <w:tab/>
        </w:r>
        <w:r w:rsidRPr="001C0466">
          <w:rPr>
            <w:rStyle w:val="Hyperlink"/>
            <w:noProof/>
          </w:rPr>
          <w:t>A parent node can be made aware of all IAB-DU resource configurations, including both time-domain and frequency-domain H/S/NA configurations.</w:t>
        </w:r>
      </w:hyperlink>
    </w:p>
    <w:p w14:paraId="24AB6AA5"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395" w:history="1">
        <w:r w:rsidRPr="001C0466">
          <w:rPr>
            <w:rStyle w:val="Hyperlink"/>
            <w:noProof/>
          </w:rPr>
          <w:t>Proposal 8</w:t>
        </w:r>
        <w:r>
          <w:rPr>
            <w:rFonts w:eastAsiaTheme="minorEastAsia"/>
            <w:b w:val="0"/>
            <w:noProof/>
            <w:lang w:val="sv-SE" w:eastAsia="sv-SE"/>
          </w:rPr>
          <w:tab/>
        </w:r>
        <w:r w:rsidRPr="001C0466">
          <w:rPr>
            <w:rStyle w:val="Hyperlink"/>
            <w:noProof/>
          </w:rPr>
          <w:t>Rel-17 enhancement on DCI format 2_5 should consider extension of the maximum payload size of DCI format 2_5 to increase the number of IAB-DU cells that can be provided with availability information for Soft resources.</w:t>
        </w:r>
      </w:hyperlink>
    </w:p>
    <w:p w14:paraId="5F27060B"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396" w:history="1">
        <w:r w:rsidRPr="001C0466">
          <w:rPr>
            <w:rStyle w:val="Hyperlink"/>
            <w:noProof/>
          </w:rPr>
          <w:t>Proposal 9</w:t>
        </w:r>
        <w:r>
          <w:rPr>
            <w:rFonts w:eastAsiaTheme="minorEastAsia"/>
            <w:b w:val="0"/>
            <w:noProof/>
            <w:lang w:val="sv-SE" w:eastAsia="sv-SE"/>
          </w:rPr>
          <w:tab/>
        </w:r>
        <w:r w:rsidRPr="001C0466">
          <w:rPr>
            <w:rStyle w:val="Hyperlink"/>
            <w:noProof/>
          </w:rPr>
          <w:t xml:space="preserve">Desired/Provided Guard Symbols are signalled in multiple groups that </w:t>
        </w:r>
        <w:r w:rsidRPr="001C0466">
          <w:rPr>
            <w:rStyle w:val="Hyperlink"/>
            <w:noProof/>
            <w:lang w:eastAsia="en-GB"/>
          </w:rPr>
          <w:t xml:space="preserve">covers all relevant switching combinations among </w:t>
        </w:r>
        <w:r w:rsidRPr="001C0466">
          <w:rPr>
            <w:rStyle w:val="Hyperlink"/>
            <w:noProof/>
          </w:rPr>
          <w:t>Case #1, Case #6 and Case #7 timing alignment.</w:t>
        </w:r>
      </w:hyperlink>
    </w:p>
    <w:p w14:paraId="771FC67C"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397" w:history="1">
        <w:r w:rsidRPr="001C0466">
          <w:rPr>
            <w:rStyle w:val="Hyperlink"/>
            <w:noProof/>
          </w:rPr>
          <w:t>Proposal 10</w:t>
        </w:r>
        <w:r>
          <w:rPr>
            <w:rFonts w:eastAsiaTheme="minorEastAsia"/>
            <w:b w:val="0"/>
            <w:noProof/>
            <w:lang w:val="sv-SE" w:eastAsia="sv-SE"/>
          </w:rPr>
          <w:tab/>
        </w:r>
        <w:r w:rsidRPr="001C0466">
          <w:rPr>
            <w:rStyle w:val="Hyperlink"/>
            <w:noProof/>
          </w:rPr>
          <w:t>Resources for SDM are available in FDM (and TDM for IAB nodes that do not require TDM) Soft resources through implicit indication.</w:t>
        </w:r>
      </w:hyperlink>
    </w:p>
    <w:p w14:paraId="190E71DE"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398" w:history="1">
        <w:r w:rsidRPr="001C0466">
          <w:rPr>
            <w:rStyle w:val="Hyperlink"/>
            <w:noProof/>
          </w:rPr>
          <w:t>Proposal 11</w:t>
        </w:r>
        <w:r>
          <w:rPr>
            <w:rFonts w:eastAsiaTheme="minorEastAsia"/>
            <w:b w:val="0"/>
            <w:noProof/>
            <w:lang w:val="sv-SE" w:eastAsia="sv-SE"/>
          </w:rPr>
          <w:tab/>
        </w:r>
        <w:r w:rsidRPr="001C0466">
          <w:rPr>
            <w:rStyle w:val="Hyperlink"/>
            <w:iCs/>
            <w:noProof/>
            <w:spacing w:val="2"/>
          </w:rPr>
          <w:t>In SDM Case A, simultaneous transmission, the parent IAB node dynamically signals a list of restricted SSB beams that may affect the reception of the serving beam of the IAB-MT if used by the IAB-DU.</w:t>
        </w:r>
      </w:hyperlink>
    </w:p>
    <w:p w14:paraId="5A331E00"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399" w:history="1">
        <w:r w:rsidRPr="001C0466">
          <w:rPr>
            <w:rStyle w:val="Hyperlink"/>
            <w:noProof/>
          </w:rPr>
          <w:t>Proposal 12</w:t>
        </w:r>
        <w:r>
          <w:rPr>
            <w:rFonts w:eastAsiaTheme="minorEastAsia"/>
            <w:b w:val="0"/>
            <w:noProof/>
            <w:lang w:val="sv-SE" w:eastAsia="sv-SE"/>
          </w:rPr>
          <w:tab/>
        </w:r>
        <w:r w:rsidRPr="001C0466">
          <w:rPr>
            <w:rStyle w:val="Hyperlink"/>
            <w:noProof/>
            <w:spacing w:val="2"/>
          </w:rPr>
          <w:t xml:space="preserve">Explicit availability indication overrides </w:t>
        </w:r>
        <w:r w:rsidRPr="001C0466">
          <w:rPr>
            <w:rStyle w:val="Hyperlink"/>
            <w:iCs/>
            <w:noProof/>
            <w:spacing w:val="2"/>
          </w:rPr>
          <w:t>SDM</w:t>
        </w:r>
        <w:r w:rsidRPr="001C0466">
          <w:rPr>
            <w:rStyle w:val="Hyperlink"/>
            <w:noProof/>
            <w:spacing w:val="2"/>
          </w:rPr>
          <w:t xml:space="preserve"> beam restrictions in Soft resources.</w:t>
        </w:r>
      </w:hyperlink>
    </w:p>
    <w:p w14:paraId="7612C35C"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400" w:history="1">
        <w:r w:rsidRPr="001C0466">
          <w:rPr>
            <w:rStyle w:val="Hyperlink"/>
            <w:noProof/>
          </w:rPr>
          <w:t>Proposal 13</w:t>
        </w:r>
        <w:r>
          <w:rPr>
            <w:rFonts w:eastAsiaTheme="minorEastAsia"/>
            <w:b w:val="0"/>
            <w:noProof/>
            <w:lang w:val="sv-SE" w:eastAsia="sv-SE"/>
          </w:rPr>
          <w:tab/>
        </w:r>
        <w:r w:rsidRPr="001C0466">
          <w:rPr>
            <w:rStyle w:val="Hyperlink"/>
            <w:noProof/>
          </w:rPr>
          <w:t>The parent IAB-node is dynamically provided with changes of the IAB-node’s multiplexing-capability.</w:t>
        </w:r>
      </w:hyperlink>
    </w:p>
    <w:p w14:paraId="48DD86B3"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401" w:history="1">
        <w:r w:rsidRPr="001C0466">
          <w:rPr>
            <w:rStyle w:val="Hyperlink"/>
            <w:noProof/>
          </w:rPr>
          <w:t>Proposal 14</w:t>
        </w:r>
        <w:r>
          <w:rPr>
            <w:rFonts w:eastAsiaTheme="minorEastAsia"/>
            <w:b w:val="0"/>
            <w:noProof/>
            <w:lang w:val="sv-SE" w:eastAsia="sv-SE"/>
          </w:rPr>
          <w:tab/>
        </w:r>
        <w:r w:rsidRPr="001C0466">
          <w:rPr>
            <w:rStyle w:val="Hyperlink"/>
            <w:noProof/>
          </w:rPr>
          <w:t>Whether or not to switch to FDM/SDM should be based on the ACK/NACK response from the parent IAB-node.</w:t>
        </w:r>
      </w:hyperlink>
    </w:p>
    <w:p w14:paraId="7585589E"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402" w:history="1">
        <w:r w:rsidRPr="001C0466">
          <w:rPr>
            <w:rStyle w:val="Hyperlink"/>
            <w:noProof/>
          </w:rPr>
          <w:t>Proposal 15</w:t>
        </w:r>
        <w:r>
          <w:rPr>
            <w:rFonts w:eastAsiaTheme="minorEastAsia"/>
            <w:b w:val="0"/>
            <w:noProof/>
            <w:lang w:val="sv-SE" w:eastAsia="sv-SE"/>
          </w:rPr>
          <w:tab/>
        </w:r>
        <w:r w:rsidRPr="001C0466">
          <w:rPr>
            <w:rStyle w:val="Hyperlink"/>
            <w:noProof/>
          </w:rPr>
          <w:t>A Fallback to TDM does not need an ACK response from the parent IAB-node.</w:t>
        </w:r>
      </w:hyperlink>
    </w:p>
    <w:p w14:paraId="17A58C34"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403" w:history="1">
        <w:r w:rsidRPr="001C0466">
          <w:rPr>
            <w:rStyle w:val="Hyperlink"/>
            <w:noProof/>
          </w:rPr>
          <w:t>Proposal 16</w:t>
        </w:r>
        <w:r>
          <w:rPr>
            <w:rFonts w:eastAsiaTheme="minorEastAsia"/>
            <w:b w:val="0"/>
            <w:noProof/>
            <w:lang w:val="sv-SE" w:eastAsia="sv-SE"/>
          </w:rPr>
          <w:tab/>
        </w:r>
        <w:r w:rsidRPr="001C0466">
          <w:rPr>
            <w:rStyle w:val="Hyperlink"/>
            <w:noProof/>
          </w:rPr>
          <w:t>Dedicated transmission directions in terms of DL/UL for cell-specific signals/channels should be maintained when configuring simultaneous operation at an IAB-node.</w:t>
        </w:r>
      </w:hyperlink>
    </w:p>
    <w:p w14:paraId="45006275"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404" w:history="1">
        <w:r w:rsidRPr="001C0466">
          <w:rPr>
            <w:rStyle w:val="Hyperlink"/>
            <w:noProof/>
          </w:rPr>
          <w:t>Proposal 17</w:t>
        </w:r>
        <w:r>
          <w:rPr>
            <w:rFonts w:eastAsiaTheme="minorEastAsia"/>
            <w:b w:val="0"/>
            <w:noProof/>
            <w:lang w:val="sv-SE" w:eastAsia="sv-SE"/>
          </w:rPr>
          <w:tab/>
        </w:r>
        <w:r w:rsidRPr="001C0466">
          <w:rPr>
            <w:rStyle w:val="Hyperlink"/>
            <w:noProof/>
          </w:rPr>
          <w:t>For an IAB-MT,</w:t>
        </w:r>
      </w:hyperlink>
    </w:p>
    <w:p w14:paraId="3ACE0BDB"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405" w:history="1">
        <w:r w:rsidRPr="001C0466">
          <w:rPr>
            <w:rStyle w:val="Hyperlink"/>
            <w:noProof/>
          </w:rPr>
          <w:t>a.</w:t>
        </w:r>
        <w:r>
          <w:rPr>
            <w:rFonts w:eastAsiaTheme="minorEastAsia"/>
            <w:b w:val="0"/>
            <w:noProof/>
            <w:lang w:val="sv-SE" w:eastAsia="sv-SE"/>
          </w:rPr>
          <w:tab/>
        </w:r>
        <w:r w:rsidRPr="001C0466">
          <w:rPr>
            <w:rStyle w:val="Hyperlink"/>
            <w:noProof/>
          </w:rPr>
          <w:t>an indicated transmission overrides a configured SSB reception,</w:t>
        </w:r>
      </w:hyperlink>
    </w:p>
    <w:p w14:paraId="0DA992E0"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406" w:history="1">
        <w:r w:rsidRPr="001C0466">
          <w:rPr>
            <w:rStyle w:val="Hyperlink"/>
            <w:noProof/>
          </w:rPr>
          <w:t>b.</w:t>
        </w:r>
        <w:r>
          <w:rPr>
            <w:rFonts w:eastAsiaTheme="minorEastAsia"/>
            <w:b w:val="0"/>
            <w:noProof/>
            <w:lang w:val="sv-SE" w:eastAsia="sv-SE"/>
          </w:rPr>
          <w:tab/>
        </w:r>
        <w:r w:rsidRPr="001C0466">
          <w:rPr>
            <w:rStyle w:val="Hyperlink"/>
            <w:noProof/>
          </w:rPr>
          <w:t>an indicated reception overrides a configured PRACH transmission, and</w:t>
        </w:r>
      </w:hyperlink>
    </w:p>
    <w:p w14:paraId="3D744556"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407" w:history="1">
        <w:r w:rsidRPr="001C0466">
          <w:rPr>
            <w:rStyle w:val="Hyperlink"/>
            <w:noProof/>
          </w:rPr>
          <w:t>c.</w:t>
        </w:r>
        <w:r>
          <w:rPr>
            <w:rFonts w:eastAsiaTheme="minorEastAsia"/>
            <w:b w:val="0"/>
            <w:noProof/>
            <w:lang w:val="sv-SE" w:eastAsia="sv-SE"/>
          </w:rPr>
          <w:tab/>
        </w:r>
        <w:r w:rsidRPr="001C0466">
          <w:rPr>
            <w:rStyle w:val="Hyperlink"/>
            <w:noProof/>
          </w:rPr>
          <w:t>an indicated transmission overrides a configured SIB reception.</w:t>
        </w:r>
      </w:hyperlink>
    </w:p>
    <w:p w14:paraId="3094C34B"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408" w:history="1">
        <w:r w:rsidRPr="001C0466">
          <w:rPr>
            <w:rStyle w:val="Hyperlink"/>
            <w:noProof/>
          </w:rPr>
          <w:t>Proposal 18</w:t>
        </w:r>
        <w:r>
          <w:rPr>
            <w:rFonts w:eastAsiaTheme="minorEastAsia"/>
            <w:b w:val="0"/>
            <w:noProof/>
            <w:lang w:val="sv-SE" w:eastAsia="sv-SE"/>
          </w:rPr>
          <w:tab/>
        </w:r>
        <w:r w:rsidRPr="001C0466">
          <w:rPr>
            <w:rStyle w:val="Hyperlink"/>
            <w:noProof/>
          </w:rPr>
          <w:t>To determine the availability of the per-cell IAB-DU soft resource by explicit indication, the IAB-node should take into consideration all received DCI format 2_5 from the dual parent IAB-nodes via co-located IAB-MT carriers associated to the same IAB-DU cell.</w:t>
        </w:r>
      </w:hyperlink>
    </w:p>
    <w:p w14:paraId="5614DFEC"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409" w:history="1">
        <w:r w:rsidRPr="001C0466">
          <w:rPr>
            <w:rStyle w:val="Hyperlink"/>
            <w:noProof/>
          </w:rPr>
          <w:t>Proposal 19</w:t>
        </w:r>
        <w:r>
          <w:rPr>
            <w:rFonts w:eastAsiaTheme="minorEastAsia"/>
            <w:b w:val="0"/>
            <w:noProof/>
            <w:lang w:val="sv-SE" w:eastAsia="sv-SE"/>
          </w:rPr>
          <w:tab/>
        </w:r>
        <w:r w:rsidRPr="001C0466">
          <w:rPr>
            <w:rStyle w:val="Hyperlink"/>
            <w:noProof/>
          </w:rPr>
          <w:t>It is assumed that the per-cell IAB-DU Soft resource is Not Available if it is neither explicitly indicated as Available, nor implicitly determined as Available by the IAB-DU with respect to at least one parent IAB node.</w:t>
        </w:r>
      </w:hyperlink>
    </w:p>
    <w:p w14:paraId="79DF4C1A"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410" w:history="1">
        <w:r w:rsidRPr="001C0466">
          <w:rPr>
            <w:rStyle w:val="Hyperlink"/>
            <w:noProof/>
          </w:rPr>
          <w:t>Proposal 20</w:t>
        </w:r>
        <w:r>
          <w:rPr>
            <w:rFonts w:eastAsiaTheme="minorEastAsia"/>
            <w:b w:val="0"/>
            <w:noProof/>
            <w:lang w:val="sv-SE" w:eastAsia="sv-SE"/>
          </w:rPr>
          <w:tab/>
        </w:r>
        <w:r w:rsidRPr="001C0466">
          <w:rPr>
            <w:rStyle w:val="Hyperlink"/>
            <w:noProof/>
          </w:rPr>
          <w:t>For inter-carrier DC, the IAB-donor-CU can be made aware of the IAB-MT’s capability regarding simultaneous transmission and reception on multiple serving cells in a frequency band, configured by the two parent nodes.</w:t>
        </w:r>
      </w:hyperlink>
    </w:p>
    <w:p w14:paraId="06778CD1"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411" w:history="1">
        <w:r w:rsidRPr="001C0466">
          <w:rPr>
            <w:rStyle w:val="Hyperlink"/>
            <w:noProof/>
          </w:rPr>
          <w:t>Proposal 21</w:t>
        </w:r>
        <w:r>
          <w:rPr>
            <w:rFonts w:eastAsiaTheme="minorEastAsia"/>
            <w:b w:val="0"/>
            <w:noProof/>
            <w:lang w:val="sv-SE" w:eastAsia="sv-SE"/>
          </w:rPr>
          <w:tab/>
        </w:r>
        <w:r w:rsidRPr="001C0466">
          <w:rPr>
            <w:rStyle w:val="Hyperlink"/>
            <w:noProof/>
          </w:rPr>
          <w:t>If an IAB-MT is not capable of simultaneous transmission and reception on any pair of the multiple serving cells in the frequency band configured for two parent nodes, the IAB-MT can assume all serving cells configured for the two parent nodes have aligned UL/DL directions.</w:t>
        </w:r>
      </w:hyperlink>
    </w:p>
    <w:p w14:paraId="3361DBB5" w14:textId="77777777" w:rsidR="00301FA3" w:rsidRDefault="00301FA3" w:rsidP="00301FA3">
      <w:pPr>
        <w:pStyle w:val="TableofFigures"/>
        <w:tabs>
          <w:tab w:val="right" w:leader="dot" w:pos="9629"/>
        </w:tabs>
        <w:jc w:val="both"/>
        <w:rPr>
          <w:rFonts w:eastAsiaTheme="minorEastAsia"/>
          <w:b w:val="0"/>
          <w:noProof/>
          <w:lang w:val="sv-SE" w:eastAsia="sv-SE"/>
        </w:rPr>
      </w:pPr>
      <w:hyperlink w:anchor="_Toc71663412" w:history="1">
        <w:r w:rsidRPr="001C0466">
          <w:rPr>
            <w:rStyle w:val="Hyperlink"/>
            <w:noProof/>
          </w:rPr>
          <w:t>Proposal 22</w:t>
        </w:r>
        <w:r>
          <w:rPr>
            <w:rFonts w:eastAsiaTheme="minorEastAsia"/>
            <w:b w:val="0"/>
            <w:noProof/>
            <w:lang w:val="sv-SE" w:eastAsia="sv-SE"/>
          </w:rPr>
          <w:tab/>
        </w:r>
        <w:r w:rsidRPr="001C0466">
          <w:rPr>
            <w:rStyle w:val="Hyperlink"/>
            <w:noProof/>
          </w:rPr>
          <w:t>In intra-donor-DC and inter-donor-DC operations, a parent-node can be made aware of the DU resource configuration of the other peer parent node that connects to the same IAB-node.</w:t>
        </w:r>
      </w:hyperlink>
    </w:p>
    <w:p w14:paraId="1CA6279E" w14:textId="4C3687EB" w:rsidR="00C01F33" w:rsidRPr="00C75E69" w:rsidRDefault="006E1C82" w:rsidP="00301FA3">
      <w:pPr>
        <w:pStyle w:val="TableofFigures"/>
        <w:tabs>
          <w:tab w:val="right" w:leader="dot" w:pos="9629"/>
        </w:tabs>
        <w:jc w:val="both"/>
      </w:pPr>
      <w:r w:rsidRPr="00C75E69">
        <w:fldChar w:fldCharType="end"/>
      </w:r>
    </w:p>
    <w:p w14:paraId="2D4A8D26" w14:textId="77777777" w:rsidR="00F507D1" w:rsidRPr="00C75E69" w:rsidRDefault="00F507D1" w:rsidP="00872BF6">
      <w:pPr>
        <w:pStyle w:val="Heading1"/>
        <w:ind w:left="0" w:firstLine="0"/>
        <w:jc w:val="both"/>
      </w:pPr>
      <w:bookmarkStart w:id="179" w:name="_In-sequence_SDU_delivery"/>
      <w:bookmarkEnd w:id="179"/>
      <w:r w:rsidRPr="00C75E69">
        <w:t>References</w:t>
      </w:r>
    </w:p>
    <w:p w14:paraId="7626254E" w14:textId="5FC827DE" w:rsidR="003860F9" w:rsidRPr="008E4104" w:rsidRDefault="003860F9" w:rsidP="00872BF6">
      <w:pPr>
        <w:pStyle w:val="Reference"/>
        <w:jc w:val="both"/>
        <w:rPr>
          <w:lang w:val="en-GB"/>
        </w:rPr>
      </w:pPr>
      <w:bookmarkStart w:id="180" w:name="_Ref534962701"/>
      <w:bookmarkStart w:id="181" w:name="_Ref57281096"/>
      <w:bookmarkStart w:id="182" w:name="_Ref174151459"/>
      <w:bookmarkStart w:id="183" w:name="_Ref189809556"/>
      <w:r w:rsidRPr="00CB712D">
        <w:rPr>
          <w:rFonts w:cs="Arial"/>
          <w:lang w:val="en-GB"/>
        </w:rPr>
        <w:t>RP-201293, “New WID</w:t>
      </w:r>
      <w:r w:rsidRPr="00CB712D">
        <w:rPr>
          <w:lang w:val="en-GB"/>
        </w:rPr>
        <w:t xml:space="preserve"> </w:t>
      </w:r>
      <w:r w:rsidRPr="00CB712D">
        <w:rPr>
          <w:rFonts w:cs="Arial"/>
          <w:lang w:val="en-GB"/>
        </w:rPr>
        <w:t>on Enhancements to Integrated Access and Backhaul,” Qualcomm, RAN #88e, June 2020.</w:t>
      </w:r>
      <w:bookmarkEnd w:id="180"/>
    </w:p>
    <w:p w14:paraId="1CAE66CA" w14:textId="373DCD60" w:rsidR="008E4104" w:rsidRPr="00300776" w:rsidRDefault="008E4104" w:rsidP="008E4104">
      <w:pPr>
        <w:pStyle w:val="Reference"/>
        <w:jc w:val="both"/>
        <w:rPr>
          <w:lang w:val="en-GB"/>
        </w:rPr>
      </w:pPr>
      <w:bookmarkStart w:id="184" w:name="_Ref61862761"/>
      <w:bookmarkStart w:id="185" w:name="_Ref70113715"/>
      <w:r w:rsidRPr="003860F9">
        <w:rPr>
          <w:rFonts w:cs="Arial"/>
          <w:lang w:val="en-GB"/>
        </w:rPr>
        <w:t>R1-2</w:t>
      </w:r>
      <w:r w:rsidR="00037723">
        <w:rPr>
          <w:rFonts w:cs="Arial"/>
          <w:lang w:val="en-GB"/>
        </w:rPr>
        <w:t>105839</w:t>
      </w:r>
      <w:r w:rsidRPr="003860F9">
        <w:rPr>
          <w:rFonts w:cs="Arial"/>
          <w:lang w:val="en-GB"/>
        </w:rPr>
        <w:t xml:space="preserve">, “Timing, </w:t>
      </w:r>
      <w:r w:rsidR="00037723">
        <w:rPr>
          <w:rFonts w:cs="Arial"/>
          <w:lang w:val="en-GB"/>
        </w:rPr>
        <w:t>interference management</w:t>
      </w:r>
      <w:r w:rsidRPr="003860F9">
        <w:rPr>
          <w:rFonts w:cs="Arial"/>
          <w:lang w:val="en-GB"/>
        </w:rPr>
        <w:t xml:space="preserve"> and power control in enhanced IAB,” Ericsson, RAN1 #10</w:t>
      </w:r>
      <w:r>
        <w:rPr>
          <w:rFonts w:cs="Arial"/>
          <w:lang w:val="en-GB"/>
        </w:rPr>
        <w:t>5-</w:t>
      </w:r>
      <w:r w:rsidRPr="003860F9">
        <w:rPr>
          <w:rFonts w:cs="Arial"/>
          <w:lang w:val="en-GB"/>
        </w:rPr>
        <w:t xml:space="preserve">e, </w:t>
      </w:r>
      <w:r>
        <w:rPr>
          <w:rFonts w:cs="Arial"/>
          <w:lang w:val="en-GB"/>
        </w:rPr>
        <w:t>May</w:t>
      </w:r>
      <w:r w:rsidRPr="003860F9">
        <w:rPr>
          <w:rFonts w:cs="Arial"/>
          <w:lang w:val="en-GB"/>
        </w:rPr>
        <w:t xml:space="preserve"> 2021</w:t>
      </w:r>
      <w:bookmarkEnd w:id="184"/>
      <w:r w:rsidRPr="003860F9">
        <w:rPr>
          <w:rFonts w:cs="Arial"/>
          <w:lang w:val="en-GB"/>
        </w:rPr>
        <w:t>.</w:t>
      </w:r>
      <w:bookmarkEnd w:id="185"/>
    </w:p>
    <w:p w14:paraId="58817B4B" w14:textId="5F8C0BA8" w:rsidR="00467A29" w:rsidRPr="00300776" w:rsidRDefault="00467A29">
      <w:pPr>
        <w:pStyle w:val="Reference"/>
        <w:jc w:val="both"/>
        <w:rPr>
          <w:rFonts w:cs="Arial"/>
          <w:lang w:val="en-GB"/>
        </w:rPr>
      </w:pPr>
      <w:bookmarkStart w:id="186" w:name="_Ref71616395"/>
      <w:r w:rsidRPr="003860F9">
        <w:rPr>
          <w:rFonts w:cs="Arial"/>
          <w:lang w:val="en-GB"/>
        </w:rPr>
        <w:t>R1-2</w:t>
      </w:r>
      <w:r w:rsidR="00037723">
        <w:rPr>
          <w:rFonts w:cs="Arial"/>
          <w:lang w:val="en-GB"/>
        </w:rPr>
        <w:t>105840</w:t>
      </w:r>
      <w:r w:rsidRPr="003860F9">
        <w:rPr>
          <w:rFonts w:cs="Arial"/>
          <w:lang w:val="en-GB"/>
        </w:rPr>
        <w:t>, “</w:t>
      </w:r>
      <w:r>
        <w:rPr>
          <w:rFonts w:cs="Arial"/>
          <w:lang w:val="en-GB"/>
        </w:rPr>
        <w:t>Discussion on the payload size of the DCI format 2_5,</w:t>
      </w:r>
      <w:r w:rsidRPr="003860F9">
        <w:rPr>
          <w:rFonts w:cs="Arial"/>
          <w:lang w:val="en-GB"/>
        </w:rPr>
        <w:t>” Ericsson, RAN1 #10</w:t>
      </w:r>
      <w:r>
        <w:rPr>
          <w:rFonts w:cs="Arial"/>
          <w:lang w:val="en-GB"/>
        </w:rPr>
        <w:t>5-</w:t>
      </w:r>
      <w:r w:rsidRPr="003860F9">
        <w:rPr>
          <w:rFonts w:cs="Arial"/>
          <w:lang w:val="en-GB"/>
        </w:rPr>
        <w:t xml:space="preserve">e, </w:t>
      </w:r>
      <w:r>
        <w:rPr>
          <w:rFonts w:cs="Arial"/>
          <w:lang w:val="en-GB"/>
        </w:rPr>
        <w:t>May</w:t>
      </w:r>
      <w:r w:rsidRPr="003860F9">
        <w:rPr>
          <w:rFonts w:cs="Arial"/>
          <w:lang w:val="en-GB"/>
        </w:rPr>
        <w:t xml:space="preserve"> 2021.</w:t>
      </w:r>
      <w:bookmarkEnd w:id="186"/>
    </w:p>
    <w:p w14:paraId="05913D85" w14:textId="2E51D6D8" w:rsidR="00611F0B" w:rsidRPr="00721FE4" w:rsidRDefault="00611F0B" w:rsidP="00611F0B">
      <w:pPr>
        <w:pStyle w:val="Reference"/>
        <w:jc w:val="both"/>
        <w:rPr>
          <w:lang w:val="en-GB"/>
        </w:rPr>
      </w:pPr>
      <w:bookmarkStart w:id="187" w:name="_Ref70195782"/>
      <w:bookmarkStart w:id="188" w:name="_Ref68031170"/>
      <w:r w:rsidRPr="00CB712D">
        <w:rPr>
          <w:rFonts w:cs="Arial"/>
          <w:lang w:val="en-GB"/>
        </w:rPr>
        <w:t>“Chairman’s Notes”, 3GPP TSG RAN WG1 Meeting #104</w:t>
      </w:r>
      <w:r>
        <w:rPr>
          <w:rFonts w:cs="Arial"/>
          <w:lang w:val="en-GB"/>
        </w:rPr>
        <w:t>bis</w:t>
      </w:r>
      <w:r w:rsidR="00C851A3">
        <w:rPr>
          <w:rFonts w:cs="Arial"/>
          <w:lang w:val="en-GB"/>
        </w:rPr>
        <w:t>-e</w:t>
      </w:r>
      <w:r w:rsidRPr="00CB712D">
        <w:rPr>
          <w:rFonts w:cs="Arial"/>
          <w:lang w:val="en-GB"/>
        </w:rPr>
        <w:t xml:space="preserve">, </w:t>
      </w:r>
      <w:r>
        <w:rPr>
          <w:rFonts w:cs="Arial"/>
          <w:lang w:val="en-GB"/>
        </w:rPr>
        <w:t>April</w:t>
      </w:r>
      <w:r w:rsidRPr="00CB712D">
        <w:rPr>
          <w:rFonts w:cs="Arial"/>
          <w:lang w:val="en-GB"/>
        </w:rPr>
        <w:t xml:space="preserve"> 2021.</w:t>
      </w:r>
      <w:bookmarkEnd w:id="187"/>
    </w:p>
    <w:p w14:paraId="1F5679EA" w14:textId="61747BE7" w:rsidR="00721FE4" w:rsidRPr="006C3155" w:rsidRDefault="00721FE4" w:rsidP="00611F0B">
      <w:pPr>
        <w:pStyle w:val="Reference"/>
        <w:jc w:val="both"/>
        <w:rPr>
          <w:lang w:val="en-GB"/>
        </w:rPr>
      </w:pPr>
      <w:bookmarkStart w:id="189" w:name="_Ref70110054"/>
      <w:r>
        <w:rPr>
          <w:rFonts w:cs="Arial"/>
          <w:lang w:val="en-GB"/>
        </w:rPr>
        <w:t xml:space="preserve">TS 38.214 </w:t>
      </w:r>
      <w:r w:rsidR="00C758E5">
        <w:rPr>
          <w:rFonts w:cs="Arial"/>
          <w:lang w:val="en-GB"/>
        </w:rPr>
        <w:t>“NR; Physical layer procedures for data</w:t>
      </w:r>
      <w:r w:rsidR="007F5277">
        <w:rPr>
          <w:rFonts w:cs="Arial"/>
          <w:lang w:val="en-GB"/>
        </w:rPr>
        <w:t xml:space="preserve"> (Release 16)</w:t>
      </w:r>
      <w:r w:rsidR="00C758E5">
        <w:rPr>
          <w:rFonts w:cs="Arial"/>
          <w:lang w:val="en-GB"/>
        </w:rPr>
        <w:t>,” 3GPP, V16.5.0, March 2021</w:t>
      </w:r>
      <w:bookmarkEnd w:id="189"/>
    </w:p>
    <w:p w14:paraId="6BB92476" w14:textId="00608E25" w:rsidR="00AD2432" w:rsidRDefault="00AD2432" w:rsidP="00AD2432">
      <w:pPr>
        <w:pStyle w:val="Reference"/>
        <w:jc w:val="both"/>
        <w:rPr>
          <w:lang w:val="en-GB"/>
        </w:rPr>
      </w:pPr>
      <w:bookmarkStart w:id="190" w:name="_Ref71662548"/>
      <w:r w:rsidRPr="00CB712D">
        <w:rPr>
          <w:lang w:val="en-GB"/>
        </w:rPr>
        <w:t>TS 38.213, “NR; Physical layer procedures for control (Release 16)”, 3GPP, V16.</w:t>
      </w:r>
      <w:r>
        <w:rPr>
          <w:lang w:val="en-GB"/>
        </w:rPr>
        <w:t>5</w:t>
      </w:r>
      <w:r w:rsidRPr="00CB712D">
        <w:rPr>
          <w:lang w:val="en-GB"/>
        </w:rPr>
        <w:t xml:space="preserve">.0, </w:t>
      </w:r>
      <w:r>
        <w:rPr>
          <w:lang w:val="en-GB"/>
        </w:rPr>
        <w:t xml:space="preserve">March </w:t>
      </w:r>
      <w:r w:rsidRPr="00CB712D">
        <w:rPr>
          <w:lang w:val="en-GB"/>
        </w:rPr>
        <w:t>202</w:t>
      </w:r>
      <w:r>
        <w:rPr>
          <w:lang w:val="en-GB"/>
        </w:rPr>
        <w:t>1</w:t>
      </w:r>
      <w:r w:rsidRPr="00CB712D">
        <w:rPr>
          <w:lang w:val="en-GB"/>
        </w:rPr>
        <w:t>.</w:t>
      </w:r>
      <w:bookmarkEnd w:id="190"/>
    </w:p>
    <w:p w14:paraId="1339D4C5" w14:textId="2F17164C" w:rsidR="00AD2432" w:rsidRPr="00AD2432" w:rsidRDefault="00AD2432" w:rsidP="00AD2432">
      <w:pPr>
        <w:pStyle w:val="Reference"/>
        <w:rPr>
          <w:lang w:val="en-GB"/>
        </w:rPr>
      </w:pPr>
      <w:bookmarkStart w:id="191" w:name="_Ref71663095"/>
      <w:r w:rsidRPr="005C207D">
        <w:t>TS 38.212, “NR; Multiplexing and channel coding (Release 16)”, 3GPP, V16.5.0, March 2021</w:t>
      </w:r>
      <w:r>
        <w:rPr>
          <w:lang w:val="en-GB"/>
        </w:rPr>
        <w:t>.</w:t>
      </w:r>
      <w:bookmarkEnd w:id="191"/>
    </w:p>
    <w:p w14:paraId="4078806E" w14:textId="401B5B3F" w:rsidR="006C3155" w:rsidRPr="001002E9" w:rsidRDefault="006C3155" w:rsidP="006C3155">
      <w:pPr>
        <w:pStyle w:val="Reference"/>
        <w:jc w:val="both"/>
        <w:rPr>
          <w:lang w:val="en-GB"/>
        </w:rPr>
      </w:pPr>
      <w:bookmarkStart w:id="192" w:name="_Ref476919366"/>
      <w:bookmarkStart w:id="193" w:name="_Ref454459437"/>
      <w:r w:rsidRPr="00CB712D">
        <w:rPr>
          <w:rFonts w:cs="Arial"/>
          <w:lang w:val="en-GB"/>
        </w:rPr>
        <w:t xml:space="preserve">“Chairman’s Notes”, 3GPP TSG RAN WG1 Meeting #104e, </w:t>
      </w:r>
      <w:r>
        <w:rPr>
          <w:rFonts w:cs="Arial"/>
          <w:lang w:val="en-GB"/>
        </w:rPr>
        <w:t>February</w:t>
      </w:r>
      <w:r w:rsidRPr="00CB712D">
        <w:rPr>
          <w:rFonts w:cs="Arial"/>
          <w:lang w:val="en-GB"/>
        </w:rPr>
        <w:t xml:space="preserve"> 2021.</w:t>
      </w:r>
      <w:bookmarkEnd w:id="192"/>
      <w:bookmarkEnd w:id="193"/>
    </w:p>
    <w:p w14:paraId="74885839" w14:textId="632A2B63" w:rsidR="001002E9" w:rsidRPr="001002E9" w:rsidRDefault="001002E9" w:rsidP="001002E9">
      <w:pPr>
        <w:pStyle w:val="Reference"/>
        <w:jc w:val="both"/>
        <w:rPr>
          <w:lang w:val="en-GB"/>
        </w:rPr>
      </w:pPr>
      <w:bookmarkStart w:id="194" w:name="_Ref68031145"/>
      <w:r w:rsidRPr="00CB712D">
        <w:rPr>
          <w:rFonts w:cs="Arial"/>
          <w:lang w:val="en-GB"/>
        </w:rPr>
        <w:lastRenderedPageBreak/>
        <w:t>“Chairman’s Notes”, 3GPP TSG RAN WG1 Meeting #9</w:t>
      </w:r>
      <w:r>
        <w:rPr>
          <w:rFonts w:cs="Arial"/>
          <w:lang w:val="en-GB"/>
        </w:rPr>
        <w:t>6bis</w:t>
      </w:r>
      <w:r w:rsidRPr="00CB712D">
        <w:rPr>
          <w:rFonts w:cs="Arial"/>
          <w:lang w:val="en-GB"/>
        </w:rPr>
        <w:t xml:space="preserve">, </w:t>
      </w:r>
      <w:r>
        <w:rPr>
          <w:rFonts w:cs="Arial"/>
          <w:lang w:val="en-GB"/>
        </w:rPr>
        <w:t>April</w:t>
      </w:r>
      <w:r w:rsidRPr="00CB712D">
        <w:rPr>
          <w:rFonts w:cs="Arial"/>
          <w:lang w:val="en-GB"/>
        </w:rPr>
        <w:t xml:space="preserve"> 2019.</w:t>
      </w:r>
      <w:bookmarkEnd w:id="194"/>
    </w:p>
    <w:p w14:paraId="469D638F" w14:textId="3D7CC452" w:rsidR="007F6F5F" w:rsidRPr="00CB712D" w:rsidRDefault="007F6F5F" w:rsidP="00872BF6">
      <w:pPr>
        <w:pStyle w:val="Reference"/>
        <w:jc w:val="both"/>
        <w:rPr>
          <w:lang w:val="en-GB"/>
        </w:rPr>
      </w:pPr>
      <w:bookmarkStart w:id="195" w:name="_Ref70110109"/>
      <w:r w:rsidRPr="00CB712D">
        <w:rPr>
          <w:rFonts w:cs="Arial"/>
          <w:lang w:val="en-GB"/>
        </w:rPr>
        <w:t>“Chairman’s Notes”, 3GPP TSG RAN WG1 Meeting #98</w:t>
      </w:r>
      <w:r>
        <w:rPr>
          <w:rFonts w:cs="Arial"/>
          <w:lang w:val="en-GB"/>
        </w:rPr>
        <w:t>bis</w:t>
      </w:r>
      <w:r w:rsidRPr="00CB712D">
        <w:rPr>
          <w:rFonts w:cs="Arial"/>
          <w:lang w:val="en-GB"/>
        </w:rPr>
        <w:t xml:space="preserve">, </w:t>
      </w:r>
      <w:r>
        <w:rPr>
          <w:rFonts w:cs="Arial"/>
          <w:lang w:val="en-GB"/>
        </w:rPr>
        <w:t>October</w:t>
      </w:r>
      <w:r w:rsidRPr="00CB712D">
        <w:rPr>
          <w:rFonts w:cs="Arial"/>
          <w:lang w:val="en-GB"/>
        </w:rPr>
        <w:t xml:space="preserve"> 2019.</w:t>
      </w:r>
      <w:bookmarkEnd w:id="188"/>
      <w:bookmarkEnd w:id="195"/>
    </w:p>
    <w:p w14:paraId="4C3B2B96" w14:textId="77777777" w:rsidR="003860F9" w:rsidRPr="00CB712D" w:rsidRDefault="003860F9" w:rsidP="00872BF6">
      <w:pPr>
        <w:pStyle w:val="Reference"/>
        <w:jc w:val="both"/>
        <w:rPr>
          <w:lang w:val="en-GB"/>
        </w:rPr>
      </w:pPr>
      <w:bookmarkStart w:id="196" w:name="_Ref59109719"/>
      <w:bookmarkStart w:id="197" w:name="_Ref66820699"/>
      <w:bookmarkEnd w:id="181"/>
      <w:r w:rsidRPr="00CB712D">
        <w:rPr>
          <w:lang w:val="en-GB"/>
        </w:rPr>
        <w:t>R1-1912282, “Half-duplex operation in CA based on [95-NR-06],” Nokia, RAN1 #99, November 2019</w:t>
      </w:r>
      <w:bookmarkEnd w:id="196"/>
      <w:r w:rsidRPr="00CB712D">
        <w:rPr>
          <w:lang w:val="en-GB"/>
        </w:rPr>
        <w:t>.</w:t>
      </w:r>
      <w:bookmarkEnd w:id="197"/>
    </w:p>
    <w:p w14:paraId="13E86EA8" w14:textId="01734F9B" w:rsidR="00536521" w:rsidRPr="00CB712D" w:rsidRDefault="00536521" w:rsidP="00872BF6">
      <w:pPr>
        <w:pStyle w:val="Reference"/>
        <w:jc w:val="both"/>
        <w:rPr>
          <w:lang w:val="en-GB"/>
        </w:rPr>
      </w:pPr>
      <w:bookmarkStart w:id="198" w:name="_Ref70198184"/>
      <w:r>
        <w:rPr>
          <w:lang w:val="en-GB"/>
        </w:rPr>
        <w:t>R1-2104010, “Correction on half-duplex operation in CA with unpaired spectrum,” Moderator (NTT DOCOMO, INC.), Huawei, HiSilicon, CATT, RAN1 # 104bis-e, April 2021.</w:t>
      </w:r>
      <w:bookmarkEnd w:id="198"/>
    </w:p>
    <w:bookmarkEnd w:id="182"/>
    <w:bookmarkEnd w:id="183"/>
    <w:p w14:paraId="779A4A6B" w14:textId="77777777" w:rsidR="003A7EF3" w:rsidRPr="00877A84" w:rsidRDefault="003A7EF3" w:rsidP="00872BF6">
      <w:pPr>
        <w:pStyle w:val="BodyText"/>
        <w:jc w:val="both"/>
        <w:rPr>
          <w:lang w:val="en-GB"/>
        </w:rPr>
      </w:pPr>
    </w:p>
    <w:sectPr w:rsidR="003A7EF3" w:rsidRPr="00877A8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0CCA26" w14:textId="77777777" w:rsidR="007B36A4" w:rsidRDefault="007B36A4" w:rsidP="00A575AC">
      <w:r>
        <w:separator/>
      </w:r>
    </w:p>
    <w:p w14:paraId="50B3E8D9" w14:textId="77777777" w:rsidR="007B36A4" w:rsidRDefault="007B36A4" w:rsidP="00A575AC"/>
  </w:endnote>
  <w:endnote w:type="continuationSeparator" w:id="0">
    <w:p w14:paraId="7F0D7B6B" w14:textId="77777777" w:rsidR="007B36A4" w:rsidRDefault="007B36A4" w:rsidP="00A575AC">
      <w:r>
        <w:continuationSeparator/>
      </w:r>
    </w:p>
    <w:p w14:paraId="4344BAD9" w14:textId="77777777" w:rsidR="007B36A4" w:rsidRDefault="007B36A4" w:rsidP="00A575AC"/>
  </w:endnote>
  <w:endnote w:type="continuationNotice" w:id="1">
    <w:p w14:paraId="080968C0" w14:textId="77777777" w:rsidR="007B36A4" w:rsidRDefault="007B36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3F008" w14:textId="77777777" w:rsidR="007B36A4" w:rsidRDefault="007B36A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7B0D7" w14:textId="77777777" w:rsidR="007B36A4" w:rsidRDefault="007B36A4" w:rsidP="00A575AC">
      <w:r>
        <w:separator/>
      </w:r>
    </w:p>
    <w:p w14:paraId="6EF809BC" w14:textId="77777777" w:rsidR="007B36A4" w:rsidRDefault="007B36A4" w:rsidP="00A575AC"/>
  </w:footnote>
  <w:footnote w:type="continuationSeparator" w:id="0">
    <w:p w14:paraId="0A26C2AA" w14:textId="77777777" w:rsidR="007B36A4" w:rsidRDefault="007B36A4" w:rsidP="00A575AC">
      <w:r>
        <w:continuationSeparator/>
      </w:r>
    </w:p>
    <w:p w14:paraId="0C06AA29" w14:textId="77777777" w:rsidR="007B36A4" w:rsidRDefault="007B36A4" w:rsidP="00A575AC"/>
  </w:footnote>
  <w:footnote w:type="continuationNotice" w:id="1">
    <w:p w14:paraId="6F0348B7" w14:textId="77777777" w:rsidR="007B36A4" w:rsidRDefault="007B36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1F20F" w14:textId="77777777" w:rsidR="007B36A4" w:rsidRDefault="007B36A4"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E2676B2"/>
    <w:multiLevelType w:val="hybridMultilevel"/>
    <w:tmpl w:val="CD3889AA"/>
    <w:lvl w:ilvl="0" w:tplc="0409000F">
      <w:start w:val="1"/>
      <w:numFmt w:val="decimal"/>
      <w:lvlText w:val="%1."/>
      <w:lvlJc w:val="left"/>
      <w:pPr>
        <w:ind w:left="720" w:hanging="360"/>
      </w:pPr>
      <w:rPr>
        <w:rFonts w:cs="Times New Roman"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E34A3A"/>
    <w:multiLevelType w:val="hybridMultilevel"/>
    <w:tmpl w:val="B35436E2"/>
    <w:lvl w:ilvl="0" w:tplc="FBD829F6">
      <w:start w:val="1"/>
      <w:numFmt w:val="bullet"/>
      <w:lvlText w:val="•"/>
      <w:lvlJc w:val="left"/>
      <w:pPr>
        <w:tabs>
          <w:tab w:val="num" w:pos="720"/>
        </w:tabs>
        <w:ind w:left="720" w:hanging="360"/>
      </w:pPr>
      <w:rPr>
        <w:rFonts w:ascii="Arial" w:hAnsi="Arial" w:hint="default"/>
      </w:rPr>
    </w:lvl>
    <w:lvl w:ilvl="1" w:tplc="4B24FF4E" w:tentative="1">
      <w:start w:val="1"/>
      <w:numFmt w:val="bullet"/>
      <w:lvlText w:val="•"/>
      <w:lvlJc w:val="left"/>
      <w:pPr>
        <w:tabs>
          <w:tab w:val="num" w:pos="1440"/>
        </w:tabs>
        <w:ind w:left="1440" w:hanging="360"/>
      </w:pPr>
      <w:rPr>
        <w:rFonts w:ascii="Arial" w:hAnsi="Arial" w:hint="default"/>
      </w:rPr>
    </w:lvl>
    <w:lvl w:ilvl="2" w:tplc="1328521A" w:tentative="1">
      <w:start w:val="1"/>
      <w:numFmt w:val="bullet"/>
      <w:lvlText w:val="•"/>
      <w:lvlJc w:val="left"/>
      <w:pPr>
        <w:tabs>
          <w:tab w:val="num" w:pos="2160"/>
        </w:tabs>
        <w:ind w:left="2160" w:hanging="360"/>
      </w:pPr>
      <w:rPr>
        <w:rFonts w:ascii="Arial" w:hAnsi="Arial" w:hint="default"/>
      </w:rPr>
    </w:lvl>
    <w:lvl w:ilvl="3" w:tplc="22568EA6" w:tentative="1">
      <w:start w:val="1"/>
      <w:numFmt w:val="bullet"/>
      <w:lvlText w:val="•"/>
      <w:lvlJc w:val="left"/>
      <w:pPr>
        <w:tabs>
          <w:tab w:val="num" w:pos="2880"/>
        </w:tabs>
        <w:ind w:left="2880" w:hanging="360"/>
      </w:pPr>
      <w:rPr>
        <w:rFonts w:ascii="Arial" w:hAnsi="Arial" w:hint="default"/>
      </w:rPr>
    </w:lvl>
    <w:lvl w:ilvl="4" w:tplc="181E86CA" w:tentative="1">
      <w:start w:val="1"/>
      <w:numFmt w:val="bullet"/>
      <w:lvlText w:val="•"/>
      <w:lvlJc w:val="left"/>
      <w:pPr>
        <w:tabs>
          <w:tab w:val="num" w:pos="3600"/>
        </w:tabs>
        <w:ind w:left="3600" w:hanging="360"/>
      </w:pPr>
      <w:rPr>
        <w:rFonts w:ascii="Arial" w:hAnsi="Arial" w:hint="default"/>
      </w:rPr>
    </w:lvl>
    <w:lvl w:ilvl="5" w:tplc="6B7A9FFC" w:tentative="1">
      <w:start w:val="1"/>
      <w:numFmt w:val="bullet"/>
      <w:lvlText w:val="•"/>
      <w:lvlJc w:val="left"/>
      <w:pPr>
        <w:tabs>
          <w:tab w:val="num" w:pos="4320"/>
        </w:tabs>
        <w:ind w:left="4320" w:hanging="360"/>
      </w:pPr>
      <w:rPr>
        <w:rFonts w:ascii="Arial" w:hAnsi="Arial" w:hint="default"/>
      </w:rPr>
    </w:lvl>
    <w:lvl w:ilvl="6" w:tplc="3056B206" w:tentative="1">
      <w:start w:val="1"/>
      <w:numFmt w:val="bullet"/>
      <w:lvlText w:val="•"/>
      <w:lvlJc w:val="left"/>
      <w:pPr>
        <w:tabs>
          <w:tab w:val="num" w:pos="5040"/>
        </w:tabs>
        <w:ind w:left="5040" w:hanging="360"/>
      </w:pPr>
      <w:rPr>
        <w:rFonts w:ascii="Arial" w:hAnsi="Arial" w:hint="default"/>
      </w:rPr>
    </w:lvl>
    <w:lvl w:ilvl="7" w:tplc="026EA5C2" w:tentative="1">
      <w:start w:val="1"/>
      <w:numFmt w:val="bullet"/>
      <w:lvlText w:val="•"/>
      <w:lvlJc w:val="left"/>
      <w:pPr>
        <w:tabs>
          <w:tab w:val="num" w:pos="5760"/>
        </w:tabs>
        <w:ind w:left="5760" w:hanging="360"/>
      </w:pPr>
      <w:rPr>
        <w:rFonts w:ascii="Arial" w:hAnsi="Arial" w:hint="default"/>
      </w:rPr>
    </w:lvl>
    <w:lvl w:ilvl="8" w:tplc="999EE9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B76BA5"/>
    <w:multiLevelType w:val="hybridMultilevel"/>
    <w:tmpl w:val="38021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257DA3"/>
    <w:multiLevelType w:val="multilevel"/>
    <w:tmpl w:val="041D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8787189"/>
    <w:multiLevelType w:val="hybridMultilevel"/>
    <w:tmpl w:val="D2A49EA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D0B5EE4"/>
    <w:multiLevelType w:val="hybridMultilevel"/>
    <w:tmpl w:val="11901FC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700050"/>
    <w:multiLevelType w:val="hybridMultilevel"/>
    <w:tmpl w:val="57DA9B4C"/>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9EC0988"/>
    <w:multiLevelType w:val="hybridMultilevel"/>
    <w:tmpl w:val="B63A67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3A1DDA"/>
    <w:multiLevelType w:val="hybridMultilevel"/>
    <w:tmpl w:val="F6386C86"/>
    <w:lvl w:ilvl="0" w:tplc="3C2EFF7A">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4F04C9"/>
    <w:multiLevelType w:val="hybridMultilevel"/>
    <w:tmpl w:val="A6CC5A0A"/>
    <w:lvl w:ilvl="0" w:tplc="BC2C8356">
      <w:start w:val="1"/>
      <w:numFmt w:val="bullet"/>
      <w:lvlText w:val="•"/>
      <w:lvlJc w:val="left"/>
      <w:pPr>
        <w:tabs>
          <w:tab w:val="num" w:pos="720"/>
        </w:tabs>
        <w:ind w:left="720" w:hanging="360"/>
      </w:pPr>
      <w:rPr>
        <w:rFonts w:ascii="Arial" w:hAnsi="Arial" w:hint="default"/>
      </w:rPr>
    </w:lvl>
    <w:lvl w:ilvl="1" w:tplc="01E057DC" w:tentative="1">
      <w:start w:val="1"/>
      <w:numFmt w:val="bullet"/>
      <w:lvlText w:val="•"/>
      <w:lvlJc w:val="left"/>
      <w:pPr>
        <w:tabs>
          <w:tab w:val="num" w:pos="1440"/>
        </w:tabs>
        <w:ind w:left="1440" w:hanging="360"/>
      </w:pPr>
      <w:rPr>
        <w:rFonts w:ascii="Arial" w:hAnsi="Arial" w:hint="default"/>
      </w:rPr>
    </w:lvl>
    <w:lvl w:ilvl="2" w:tplc="1D026064" w:tentative="1">
      <w:start w:val="1"/>
      <w:numFmt w:val="bullet"/>
      <w:lvlText w:val="•"/>
      <w:lvlJc w:val="left"/>
      <w:pPr>
        <w:tabs>
          <w:tab w:val="num" w:pos="2160"/>
        </w:tabs>
        <w:ind w:left="2160" w:hanging="360"/>
      </w:pPr>
      <w:rPr>
        <w:rFonts w:ascii="Arial" w:hAnsi="Arial" w:hint="default"/>
      </w:rPr>
    </w:lvl>
    <w:lvl w:ilvl="3" w:tplc="6D049F58" w:tentative="1">
      <w:start w:val="1"/>
      <w:numFmt w:val="bullet"/>
      <w:lvlText w:val="•"/>
      <w:lvlJc w:val="left"/>
      <w:pPr>
        <w:tabs>
          <w:tab w:val="num" w:pos="2880"/>
        </w:tabs>
        <w:ind w:left="2880" w:hanging="360"/>
      </w:pPr>
      <w:rPr>
        <w:rFonts w:ascii="Arial" w:hAnsi="Arial" w:hint="default"/>
      </w:rPr>
    </w:lvl>
    <w:lvl w:ilvl="4" w:tplc="8174B13C" w:tentative="1">
      <w:start w:val="1"/>
      <w:numFmt w:val="bullet"/>
      <w:lvlText w:val="•"/>
      <w:lvlJc w:val="left"/>
      <w:pPr>
        <w:tabs>
          <w:tab w:val="num" w:pos="3600"/>
        </w:tabs>
        <w:ind w:left="3600" w:hanging="360"/>
      </w:pPr>
      <w:rPr>
        <w:rFonts w:ascii="Arial" w:hAnsi="Arial" w:hint="default"/>
      </w:rPr>
    </w:lvl>
    <w:lvl w:ilvl="5" w:tplc="F0604A66" w:tentative="1">
      <w:start w:val="1"/>
      <w:numFmt w:val="bullet"/>
      <w:lvlText w:val="•"/>
      <w:lvlJc w:val="left"/>
      <w:pPr>
        <w:tabs>
          <w:tab w:val="num" w:pos="4320"/>
        </w:tabs>
        <w:ind w:left="4320" w:hanging="360"/>
      </w:pPr>
      <w:rPr>
        <w:rFonts w:ascii="Arial" w:hAnsi="Arial" w:hint="default"/>
      </w:rPr>
    </w:lvl>
    <w:lvl w:ilvl="6" w:tplc="8F2040B8" w:tentative="1">
      <w:start w:val="1"/>
      <w:numFmt w:val="bullet"/>
      <w:lvlText w:val="•"/>
      <w:lvlJc w:val="left"/>
      <w:pPr>
        <w:tabs>
          <w:tab w:val="num" w:pos="5040"/>
        </w:tabs>
        <w:ind w:left="5040" w:hanging="360"/>
      </w:pPr>
      <w:rPr>
        <w:rFonts w:ascii="Arial" w:hAnsi="Arial" w:hint="default"/>
      </w:rPr>
    </w:lvl>
    <w:lvl w:ilvl="7" w:tplc="4DC0294A" w:tentative="1">
      <w:start w:val="1"/>
      <w:numFmt w:val="bullet"/>
      <w:lvlText w:val="•"/>
      <w:lvlJc w:val="left"/>
      <w:pPr>
        <w:tabs>
          <w:tab w:val="num" w:pos="5760"/>
        </w:tabs>
        <w:ind w:left="5760" w:hanging="360"/>
      </w:pPr>
      <w:rPr>
        <w:rFonts w:ascii="Arial" w:hAnsi="Arial" w:hint="default"/>
      </w:rPr>
    </w:lvl>
    <w:lvl w:ilvl="8" w:tplc="85CA170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46647"/>
    <w:multiLevelType w:val="hybridMultilevel"/>
    <w:tmpl w:val="52F046F6"/>
    <w:lvl w:ilvl="0" w:tplc="97E221B6">
      <w:start w:val="1"/>
      <w:numFmt w:val="decimal"/>
      <w:pStyle w:val="Proposal"/>
      <w:lvlText w:val="Proposal %1"/>
      <w:lvlJc w:val="left"/>
      <w:pPr>
        <w:tabs>
          <w:tab w:val="num" w:pos="1304"/>
        </w:tabs>
        <w:ind w:left="1304"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6C7826"/>
    <w:multiLevelType w:val="hybridMultilevel"/>
    <w:tmpl w:val="3272C046"/>
    <w:lvl w:ilvl="0" w:tplc="DC204A9C">
      <w:start w:val="1"/>
      <w:numFmt w:val="bullet"/>
      <w:lvlText w:val="•"/>
      <w:lvlJc w:val="left"/>
      <w:pPr>
        <w:tabs>
          <w:tab w:val="num" w:pos="720"/>
        </w:tabs>
        <w:ind w:left="720" w:hanging="360"/>
      </w:pPr>
      <w:rPr>
        <w:rFonts w:ascii="Arial" w:hAnsi="Arial" w:hint="default"/>
      </w:rPr>
    </w:lvl>
    <w:lvl w:ilvl="1" w:tplc="A0E62236" w:tentative="1">
      <w:start w:val="1"/>
      <w:numFmt w:val="bullet"/>
      <w:lvlText w:val="•"/>
      <w:lvlJc w:val="left"/>
      <w:pPr>
        <w:tabs>
          <w:tab w:val="num" w:pos="1440"/>
        </w:tabs>
        <w:ind w:left="1440" w:hanging="360"/>
      </w:pPr>
      <w:rPr>
        <w:rFonts w:ascii="Arial" w:hAnsi="Arial" w:hint="default"/>
      </w:rPr>
    </w:lvl>
    <w:lvl w:ilvl="2" w:tplc="BACCD5D2" w:tentative="1">
      <w:start w:val="1"/>
      <w:numFmt w:val="bullet"/>
      <w:lvlText w:val="•"/>
      <w:lvlJc w:val="left"/>
      <w:pPr>
        <w:tabs>
          <w:tab w:val="num" w:pos="2160"/>
        </w:tabs>
        <w:ind w:left="2160" w:hanging="360"/>
      </w:pPr>
      <w:rPr>
        <w:rFonts w:ascii="Arial" w:hAnsi="Arial" w:hint="default"/>
      </w:rPr>
    </w:lvl>
    <w:lvl w:ilvl="3" w:tplc="58646F4C" w:tentative="1">
      <w:start w:val="1"/>
      <w:numFmt w:val="bullet"/>
      <w:lvlText w:val="•"/>
      <w:lvlJc w:val="left"/>
      <w:pPr>
        <w:tabs>
          <w:tab w:val="num" w:pos="2880"/>
        </w:tabs>
        <w:ind w:left="2880" w:hanging="360"/>
      </w:pPr>
      <w:rPr>
        <w:rFonts w:ascii="Arial" w:hAnsi="Arial" w:hint="default"/>
      </w:rPr>
    </w:lvl>
    <w:lvl w:ilvl="4" w:tplc="4226F850" w:tentative="1">
      <w:start w:val="1"/>
      <w:numFmt w:val="bullet"/>
      <w:lvlText w:val="•"/>
      <w:lvlJc w:val="left"/>
      <w:pPr>
        <w:tabs>
          <w:tab w:val="num" w:pos="3600"/>
        </w:tabs>
        <w:ind w:left="3600" w:hanging="360"/>
      </w:pPr>
      <w:rPr>
        <w:rFonts w:ascii="Arial" w:hAnsi="Arial" w:hint="default"/>
      </w:rPr>
    </w:lvl>
    <w:lvl w:ilvl="5" w:tplc="BE287D7C" w:tentative="1">
      <w:start w:val="1"/>
      <w:numFmt w:val="bullet"/>
      <w:lvlText w:val="•"/>
      <w:lvlJc w:val="left"/>
      <w:pPr>
        <w:tabs>
          <w:tab w:val="num" w:pos="4320"/>
        </w:tabs>
        <w:ind w:left="4320" w:hanging="360"/>
      </w:pPr>
      <w:rPr>
        <w:rFonts w:ascii="Arial" w:hAnsi="Arial" w:hint="default"/>
      </w:rPr>
    </w:lvl>
    <w:lvl w:ilvl="6" w:tplc="723E5408" w:tentative="1">
      <w:start w:val="1"/>
      <w:numFmt w:val="bullet"/>
      <w:lvlText w:val="•"/>
      <w:lvlJc w:val="left"/>
      <w:pPr>
        <w:tabs>
          <w:tab w:val="num" w:pos="5040"/>
        </w:tabs>
        <w:ind w:left="5040" w:hanging="360"/>
      </w:pPr>
      <w:rPr>
        <w:rFonts w:ascii="Arial" w:hAnsi="Arial" w:hint="default"/>
      </w:rPr>
    </w:lvl>
    <w:lvl w:ilvl="7" w:tplc="45AE9306" w:tentative="1">
      <w:start w:val="1"/>
      <w:numFmt w:val="bullet"/>
      <w:lvlText w:val="•"/>
      <w:lvlJc w:val="left"/>
      <w:pPr>
        <w:tabs>
          <w:tab w:val="num" w:pos="5760"/>
        </w:tabs>
        <w:ind w:left="5760" w:hanging="360"/>
      </w:pPr>
      <w:rPr>
        <w:rFonts w:ascii="Arial" w:hAnsi="Arial" w:hint="default"/>
      </w:rPr>
    </w:lvl>
    <w:lvl w:ilvl="8" w:tplc="DCAA16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F141B5"/>
    <w:multiLevelType w:val="hybridMultilevel"/>
    <w:tmpl w:val="E92A7B6A"/>
    <w:lvl w:ilvl="0" w:tplc="2AB85F2A">
      <w:start w:val="1"/>
      <w:numFmt w:val="bullet"/>
      <w:lvlText w:val="•"/>
      <w:lvlJc w:val="left"/>
      <w:pPr>
        <w:tabs>
          <w:tab w:val="num" w:pos="720"/>
        </w:tabs>
        <w:ind w:left="720" w:hanging="360"/>
      </w:pPr>
      <w:rPr>
        <w:rFonts w:ascii="Arial" w:hAnsi="Arial" w:hint="default"/>
      </w:rPr>
    </w:lvl>
    <w:lvl w:ilvl="1" w:tplc="639CF688" w:tentative="1">
      <w:start w:val="1"/>
      <w:numFmt w:val="bullet"/>
      <w:lvlText w:val="•"/>
      <w:lvlJc w:val="left"/>
      <w:pPr>
        <w:tabs>
          <w:tab w:val="num" w:pos="1440"/>
        </w:tabs>
        <w:ind w:left="1440" w:hanging="360"/>
      </w:pPr>
      <w:rPr>
        <w:rFonts w:ascii="Arial" w:hAnsi="Arial" w:hint="default"/>
      </w:rPr>
    </w:lvl>
    <w:lvl w:ilvl="2" w:tplc="4F5E2CEA" w:tentative="1">
      <w:start w:val="1"/>
      <w:numFmt w:val="bullet"/>
      <w:lvlText w:val="•"/>
      <w:lvlJc w:val="left"/>
      <w:pPr>
        <w:tabs>
          <w:tab w:val="num" w:pos="2160"/>
        </w:tabs>
        <w:ind w:left="2160" w:hanging="360"/>
      </w:pPr>
      <w:rPr>
        <w:rFonts w:ascii="Arial" w:hAnsi="Arial" w:hint="default"/>
      </w:rPr>
    </w:lvl>
    <w:lvl w:ilvl="3" w:tplc="5184859A" w:tentative="1">
      <w:start w:val="1"/>
      <w:numFmt w:val="bullet"/>
      <w:lvlText w:val="•"/>
      <w:lvlJc w:val="left"/>
      <w:pPr>
        <w:tabs>
          <w:tab w:val="num" w:pos="2880"/>
        </w:tabs>
        <w:ind w:left="2880" w:hanging="360"/>
      </w:pPr>
      <w:rPr>
        <w:rFonts w:ascii="Arial" w:hAnsi="Arial" w:hint="default"/>
      </w:rPr>
    </w:lvl>
    <w:lvl w:ilvl="4" w:tplc="06DA3616" w:tentative="1">
      <w:start w:val="1"/>
      <w:numFmt w:val="bullet"/>
      <w:lvlText w:val="•"/>
      <w:lvlJc w:val="left"/>
      <w:pPr>
        <w:tabs>
          <w:tab w:val="num" w:pos="3600"/>
        </w:tabs>
        <w:ind w:left="3600" w:hanging="360"/>
      </w:pPr>
      <w:rPr>
        <w:rFonts w:ascii="Arial" w:hAnsi="Arial" w:hint="default"/>
      </w:rPr>
    </w:lvl>
    <w:lvl w:ilvl="5" w:tplc="4E92B9E4" w:tentative="1">
      <w:start w:val="1"/>
      <w:numFmt w:val="bullet"/>
      <w:lvlText w:val="•"/>
      <w:lvlJc w:val="left"/>
      <w:pPr>
        <w:tabs>
          <w:tab w:val="num" w:pos="4320"/>
        </w:tabs>
        <w:ind w:left="4320" w:hanging="360"/>
      </w:pPr>
      <w:rPr>
        <w:rFonts w:ascii="Arial" w:hAnsi="Arial" w:hint="default"/>
      </w:rPr>
    </w:lvl>
    <w:lvl w:ilvl="6" w:tplc="0E007136" w:tentative="1">
      <w:start w:val="1"/>
      <w:numFmt w:val="bullet"/>
      <w:lvlText w:val="•"/>
      <w:lvlJc w:val="left"/>
      <w:pPr>
        <w:tabs>
          <w:tab w:val="num" w:pos="5040"/>
        </w:tabs>
        <w:ind w:left="5040" w:hanging="360"/>
      </w:pPr>
      <w:rPr>
        <w:rFonts w:ascii="Arial" w:hAnsi="Arial" w:hint="default"/>
      </w:rPr>
    </w:lvl>
    <w:lvl w:ilvl="7" w:tplc="C0D2D50C" w:tentative="1">
      <w:start w:val="1"/>
      <w:numFmt w:val="bullet"/>
      <w:lvlText w:val="•"/>
      <w:lvlJc w:val="left"/>
      <w:pPr>
        <w:tabs>
          <w:tab w:val="num" w:pos="5760"/>
        </w:tabs>
        <w:ind w:left="5760" w:hanging="360"/>
      </w:pPr>
      <w:rPr>
        <w:rFonts w:ascii="Arial" w:hAnsi="Arial" w:hint="default"/>
      </w:rPr>
    </w:lvl>
    <w:lvl w:ilvl="8" w:tplc="CE88B0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81C0DA4"/>
    <w:multiLevelType w:val="hybridMultilevel"/>
    <w:tmpl w:val="FA90149E"/>
    <w:lvl w:ilvl="0" w:tplc="04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8F472B"/>
    <w:multiLevelType w:val="hybridMultilevel"/>
    <w:tmpl w:val="7C1CD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79E6D75A"/>
    <w:lvl w:ilvl="0" w:tplc="248C9744">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740D3"/>
    <w:multiLevelType w:val="hybridMultilevel"/>
    <w:tmpl w:val="5F7A22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755243B"/>
    <w:multiLevelType w:val="hybridMultilevel"/>
    <w:tmpl w:val="8570902C"/>
    <w:lvl w:ilvl="0" w:tplc="B892650C">
      <w:start w:val="1"/>
      <w:numFmt w:val="bullet"/>
      <w:lvlText w:val="•"/>
      <w:lvlJc w:val="left"/>
      <w:pPr>
        <w:ind w:left="360" w:hanging="360"/>
      </w:pPr>
      <w:rPr>
        <w:rFonts w:ascii="Arial" w:hAnsi="Aria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95771F1"/>
    <w:multiLevelType w:val="hybridMultilevel"/>
    <w:tmpl w:val="F7EA6048"/>
    <w:lvl w:ilvl="0" w:tplc="24E26230">
      <w:start w:val="3"/>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D7D1AF7"/>
    <w:multiLevelType w:val="hybridMultilevel"/>
    <w:tmpl w:val="7BB095A2"/>
    <w:lvl w:ilvl="0" w:tplc="61C09590">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0"/>
  </w:num>
  <w:num w:numId="2">
    <w:abstractNumId w:val="16"/>
  </w:num>
  <w:num w:numId="3">
    <w:abstractNumId w:val="0"/>
  </w:num>
  <w:num w:numId="4">
    <w:abstractNumId w:val="22"/>
  </w:num>
  <w:num w:numId="5">
    <w:abstractNumId w:val="23"/>
  </w:num>
  <w:num w:numId="6">
    <w:abstractNumId w:val="26"/>
  </w:num>
  <w:num w:numId="7">
    <w:abstractNumId w:val="9"/>
  </w:num>
  <w:num w:numId="8">
    <w:abstractNumId w:val="10"/>
  </w:num>
  <w:num w:numId="9">
    <w:abstractNumId w:val="3"/>
  </w:num>
  <w:num w:numId="10">
    <w:abstractNumId w:val="31"/>
  </w:num>
  <w:num w:numId="11">
    <w:abstractNumId w:val="14"/>
  </w:num>
  <w:num w:numId="12">
    <w:abstractNumId w:val="29"/>
  </w:num>
  <w:num w:numId="13">
    <w:abstractNumId w:val="21"/>
  </w:num>
  <w:num w:numId="14">
    <w:abstractNumId w:val="12"/>
  </w:num>
  <w:num w:numId="15">
    <w:abstractNumId w:val="19"/>
  </w:num>
  <w:num w:numId="16">
    <w:abstractNumId w:val="27"/>
  </w:num>
  <w:num w:numId="17">
    <w:abstractNumId w:val="25"/>
  </w:num>
  <w:num w:numId="18">
    <w:abstractNumId w:val="13"/>
  </w:num>
  <w:num w:numId="19">
    <w:abstractNumId w:val="11"/>
  </w:num>
  <w:num w:numId="20">
    <w:abstractNumId w:val="8"/>
  </w:num>
  <w:num w:numId="21">
    <w:abstractNumId w:val="30"/>
  </w:num>
  <w:num w:numId="22">
    <w:abstractNumId w:val="28"/>
  </w:num>
  <w:num w:numId="23">
    <w:abstractNumId w:val="6"/>
  </w:num>
  <w:num w:numId="24">
    <w:abstractNumId w:val="18"/>
  </w:num>
  <w:num w:numId="25">
    <w:abstractNumId w:val="17"/>
  </w:num>
  <w:num w:numId="26">
    <w:abstractNumId w:val="4"/>
  </w:num>
  <w:num w:numId="27">
    <w:abstractNumId w:val="24"/>
  </w:num>
  <w:num w:numId="28">
    <w:abstractNumId w:val="15"/>
  </w:num>
  <w:num w:numId="29">
    <w:abstractNumId w:val="1"/>
  </w:num>
  <w:num w:numId="30">
    <w:abstractNumId w:val="5"/>
  </w:num>
  <w:num w:numId="31">
    <w:abstractNumId w:val="7"/>
  </w:num>
  <w:num w:numId="32">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F05"/>
    <w:rsid w:val="000006E1"/>
    <w:rsid w:val="00001349"/>
    <w:rsid w:val="0000145A"/>
    <w:rsid w:val="00001F6A"/>
    <w:rsid w:val="00002A37"/>
    <w:rsid w:val="00003016"/>
    <w:rsid w:val="000031E5"/>
    <w:rsid w:val="00003422"/>
    <w:rsid w:val="000038B5"/>
    <w:rsid w:val="000038F6"/>
    <w:rsid w:val="00004068"/>
    <w:rsid w:val="00004C66"/>
    <w:rsid w:val="0000564C"/>
    <w:rsid w:val="00006446"/>
    <w:rsid w:val="00006896"/>
    <w:rsid w:val="00007CDC"/>
    <w:rsid w:val="00007EF9"/>
    <w:rsid w:val="00011B28"/>
    <w:rsid w:val="00012846"/>
    <w:rsid w:val="00012C3B"/>
    <w:rsid w:val="00014431"/>
    <w:rsid w:val="00014A16"/>
    <w:rsid w:val="00015610"/>
    <w:rsid w:val="00015D15"/>
    <w:rsid w:val="00016444"/>
    <w:rsid w:val="00017390"/>
    <w:rsid w:val="00017604"/>
    <w:rsid w:val="0002177F"/>
    <w:rsid w:val="0002564D"/>
    <w:rsid w:val="00025ECA"/>
    <w:rsid w:val="0003024E"/>
    <w:rsid w:val="00030588"/>
    <w:rsid w:val="000325B8"/>
    <w:rsid w:val="00032CA1"/>
    <w:rsid w:val="00033C8F"/>
    <w:rsid w:val="00034AFE"/>
    <w:rsid w:val="00034C15"/>
    <w:rsid w:val="000356B3"/>
    <w:rsid w:val="00036BA1"/>
    <w:rsid w:val="00037723"/>
    <w:rsid w:val="0004067E"/>
    <w:rsid w:val="00040775"/>
    <w:rsid w:val="00040AF7"/>
    <w:rsid w:val="000422E2"/>
    <w:rsid w:val="00042F22"/>
    <w:rsid w:val="000444EF"/>
    <w:rsid w:val="0004520E"/>
    <w:rsid w:val="00045777"/>
    <w:rsid w:val="000467CA"/>
    <w:rsid w:val="00047C8B"/>
    <w:rsid w:val="00047C98"/>
    <w:rsid w:val="00050266"/>
    <w:rsid w:val="000528BC"/>
    <w:rsid w:val="00052A07"/>
    <w:rsid w:val="00052EEB"/>
    <w:rsid w:val="000534B5"/>
    <w:rsid w:val="000534E3"/>
    <w:rsid w:val="00053759"/>
    <w:rsid w:val="00053A75"/>
    <w:rsid w:val="00053DAC"/>
    <w:rsid w:val="00054527"/>
    <w:rsid w:val="00055113"/>
    <w:rsid w:val="00055457"/>
    <w:rsid w:val="0005606A"/>
    <w:rsid w:val="000567BD"/>
    <w:rsid w:val="00057117"/>
    <w:rsid w:val="000608CC"/>
    <w:rsid w:val="000616E7"/>
    <w:rsid w:val="00061F5D"/>
    <w:rsid w:val="0006266E"/>
    <w:rsid w:val="00063021"/>
    <w:rsid w:val="00063191"/>
    <w:rsid w:val="0006487E"/>
    <w:rsid w:val="00064DAA"/>
    <w:rsid w:val="000657B6"/>
    <w:rsid w:val="00065E1A"/>
    <w:rsid w:val="00066790"/>
    <w:rsid w:val="000713D8"/>
    <w:rsid w:val="00072873"/>
    <w:rsid w:val="00077E5F"/>
    <w:rsid w:val="0008036A"/>
    <w:rsid w:val="000806FB"/>
    <w:rsid w:val="00081AE6"/>
    <w:rsid w:val="000855EB"/>
    <w:rsid w:val="00085B52"/>
    <w:rsid w:val="000866F2"/>
    <w:rsid w:val="000871FC"/>
    <w:rsid w:val="00090008"/>
    <w:rsid w:val="0009009F"/>
    <w:rsid w:val="0009089D"/>
    <w:rsid w:val="0009091F"/>
    <w:rsid w:val="00091557"/>
    <w:rsid w:val="0009178A"/>
    <w:rsid w:val="000924C1"/>
    <w:rsid w:val="000924F0"/>
    <w:rsid w:val="00093474"/>
    <w:rsid w:val="0009471D"/>
    <w:rsid w:val="0009510F"/>
    <w:rsid w:val="00095D3C"/>
    <w:rsid w:val="0009742B"/>
    <w:rsid w:val="000A1B7B"/>
    <w:rsid w:val="000A56F2"/>
    <w:rsid w:val="000A669C"/>
    <w:rsid w:val="000A6FB8"/>
    <w:rsid w:val="000B0DC4"/>
    <w:rsid w:val="000B17CF"/>
    <w:rsid w:val="000B1804"/>
    <w:rsid w:val="000B2719"/>
    <w:rsid w:val="000B383E"/>
    <w:rsid w:val="000B3A8F"/>
    <w:rsid w:val="000B3CCF"/>
    <w:rsid w:val="000B4263"/>
    <w:rsid w:val="000B4AB9"/>
    <w:rsid w:val="000B4BC1"/>
    <w:rsid w:val="000B58C3"/>
    <w:rsid w:val="000B61E9"/>
    <w:rsid w:val="000B6575"/>
    <w:rsid w:val="000B6CF9"/>
    <w:rsid w:val="000C0900"/>
    <w:rsid w:val="000C0B2C"/>
    <w:rsid w:val="000C0BB5"/>
    <w:rsid w:val="000C1547"/>
    <w:rsid w:val="000C165A"/>
    <w:rsid w:val="000C29E4"/>
    <w:rsid w:val="000C2E19"/>
    <w:rsid w:val="000C353A"/>
    <w:rsid w:val="000C52D7"/>
    <w:rsid w:val="000C5779"/>
    <w:rsid w:val="000C5EEE"/>
    <w:rsid w:val="000C6C6E"/>
    <w:rsid w:val="000C7640"/>
    <w:rsid w:val="000C7DAD"/>
    <w:rsid w:val="000D0D07"/>
    <w:rsid w:val="000D0DF1"/>
    <w:rsid w:val="000D2047"/>
    <w:rsid w:val="000D2A90"/>
    <w:rsid w:val="000D4797"/>
    <w:rsid w:val="000D4BD0"/>
    <w:rsid w:val="000D6138"/>
    <w:rsid w:val="000D6B4D"/>
    <w:rsid w:val="000D6F8D"/>
    <w:rsid w:val="000D71BC"/>
    <w:rsid w:val="000E0527"/>
    <w:rsid w:val="000E1C06"/>
    <w:rsid w:val="000E1E92"/>
    <w:rsid w:val="000E24C5"/>
    <w:rsid w:val="000E43F7"/>
    <w:rsid w:val="000E4E8E"/>
    <w:rsid w:val="000E53A4"/>
    <w:rsid w:val="000E5435"/>
    <w:rsid w:val="000E6A69"/>
    <w:rsid w:val="000E7112"/>
    <w:rsid w:val="000E731A"/>
    <w:rsid w:val="000F06D6"/>
    <w:rsid w:val="000F091B"/>
    <w:rsid w:val="000F092C"/>
    <w:rsid w:val="000F0EB1"/>
    <w:rsid w:val="000F1106"/>
    <w:rsid w:val="000F1897"/>
    <w:rsid w:val="000F1B1C"/>
    <w:rsid w:val="000F3061"/>
    <w:rsid w:val="000F3BE9"/>
    <w:rsid w:val="000F3CB0"/>
    <w:rsid w:val="000F3F6C"/>
    <w:rsid w:val="000F5DFC"/>
    <w:rsid w:val="000F6DF3"/>
    <w:rsid w:val="001002E9"/>
    <w:rsid w:val="001005BA"/>
    <w:rsid w:val="001005FF"/>
    <w:rsid w:val="00101AAD"/>
    <w:rsid w:val="00101E01"/>
    <w:rsid w:val="00102D2E"/>
    <w:rsid w:val="00102E20"/>
    <w:rsid w:val="001048E1"/>
    <w:rsid w:val="001054C0"/>
    <w:rsid w:val="00105C6C"/>
    <w:rsid w:val="001062FB"/>
    <w:rsid w:val="001063E6"/>
    <w:rsid w:val="001073B6"/>
    <w:rsid w:val="00111D41"/>
    <w:rsid w:val="00113CF4"/>
    <w:rsid w:val="00114363"/>
    <w:rsid w:val="00114E94"/>
    <w:rsid w:val="001150D2"/>
    <w:rsid w:val="001153EA"/>
    <w:rsid w:val="00115540"/>
    <w:rsid w:val="00115643"/>
    <w:rsid w:val="00116765"/>
    <w:rsid w:val="001168B0"/>
    <w:rsid w:val="001219F5"/>
    <w:rsid w:val="00121A20"/>
    <w:rsid w:val="00122CBB"/>
    <w:rsid w:val="0012377F"/>
    <w:rsid w:val="00124314"/>
    <w:rsid w:val="0012492D"/>
    <w:rsid w:val="00125FBC"/>
    <w:rsid w:val="00126B4A"/>
    <w:rsid w:val="0012746E"/>
    <w:rsid w:val="00127AA4"/>
    <w:rsid w:val="001303EB"/>
    <w:rsid w:val="001308BD"/>
    <w:rsid w:val="00130F65"/>
    <w:rsid w:val="00131712"/>
    <w:rsid w:val="00132FD0"/>
    <w:rsid w:val="00133BFE"/>
    <w:rsid w:val="001344C0"/>
    <w:rsid w:val="001346FA"/>
    <w:rsid w:val="00135052"/>
    <w:rsid w:val="00135252"/>
    <w:rsid w:val="00137AB5"/>
    <w:rsid w:val="00137F0B"/>
    <w:rsid w:val="001400AA"/>
    <w:rsid w:val="001407C9"/>
    <w:rsid w:val="00142AA3"/>
    <w:rsid w:val="00142E5A"/>
    <w:rsid w:val="00144EDA"/>
    <w:rsid w:val="001456D6"/>
    <w:rsid w:val="0014601B"/>
    <w:rsid w:val="00150696"/>
    <w:rsid w:val="00150891"/>
    <w:rsid w:val="00151442"/>
    <w:rsid w:val="0015160C"/>
    <w:rsid w:val="00151AFC"/>
    <w:rsid w:val="00151E23"/>
    <w:rsid w:val="001523DF"/>
    <w:rsid w:val="001526E0"/>
    <w:rsid w:val="00152FC8"/>
    <w:rsid w:val="001532F5"/>
    <w:rsid w:val="00153340"/>
    <w:rsid w:val="00153AB9"/>
    <w:rsid w:val="00154D49"/>
    <w:rsid w:val="001551B5"/>
    <w:rsid w:val="0015679B"/>
    <w:rsid w:val="00160755"/>
    <w:rsid w:val="00160F0B"/>
    <w:rsid w:val="00163F5A"/>
    <w:rsid w:val="00164378"/>
    <w:rsid w:val="00164B13"/>
    <w:rsid w:val="00164ECF"/>
    <w:rsid w:val="00164F34"/>
    <w:rsid w:val="001659C1"/>
    <w:rsid w:val="00165F1E"/>
    <w:rsid w:val="001662FD"/>
    <w:rsid w:val="00167403"/>
    <w:rsid w:val="00167ADE"/>
    <w:rsid w:val="00170446"/>
    <w:rsid w:val="001709E1"/>
    <w:rsid w:val="001713E2"/>
    <w:rsid w:val="00172D0A"/>
    <w:rsid w:val="00173A8E"/>
    <w:rsid w:val="00173D7B"/>
    <w:rsid w:val="0017502C"/>
    <w:rsid w:val="00176B72"/>
    <w:rsid w:val="001776D2"/>
    <w:rsid w:val="0018001B"/>
    <w:rsid w:val="0018143F"/>
    <w:rsid w:val="00181E7C"/>
    <w:rsid w:val="00181FF8"/>
    <w:rsid w:val="00183166"/>
    <w:rsid w:val="00183FE8"/>
    <w:rsid w:val="00184B76"/>
    <w:rsid w:val="00185C53"/>
    <w:rsid w:val="00190065"/>
    <w:rsid w:val="00190AC1"/>
    <w:rsid w:val="00190B9F"/>
    <w:rsid w:val="00190C81"/>
    <w:rsid w:val="00192931"/>
    <w:rsid w:val="00192D47"/>
    <w:rsid w:val="0019341A"/>
    <w:rsid w:val="001948F4"/>
    <w:rsid w:val="0019535D"/>
    <w:rsid w:val="00195C13"/>
    <w:rsid w:val="00197DF9"/>
    <w:rsid w:val="001A1496"/>
    <w:rsid w:val="001A1987"/>
    <w:rsid w:val="001A199A"/>
    <w:rsid w:val="001A1D23"/>
    <w:rsid w:val="001A2564"/>
    <w:rsid w:val="001A2633"/>
    <w:rsid w:val="001A28D8"/>
    <w:rsid w:val="001A320C"/>
    <w:rsid w:val="001A615D"/>
    <w:rsid w:val="001A6173"/>
    <w:rsid w:val="001A679F"/>
    <w:rsid w:val="001A6CBA"/>
    <w:rsid w:val="001A6D45"/>
    <w:rsid w:val="001A796E"/>
    <w:rsid w:val="001B0D97"/>
    <w:rsid w:val="001B0E0C"/>
    <w:rsid w:val="001B2CE2"/>
    <w:rsid w:val="001B3C96"/>
    <w:rsid w:val="001B49A6"/>
    <w:rsid w:val="001B4DD5"/>
    <w:rsid w:val="001B5A5D"/>
    <w:rsid w:val="001C1CE5"/>
    <w:rsid w:val="001C35E9"/>
    <w:rsid w:val="001C3895"/>
    <w:rsid w:val="001C3D2A"/>
    <w:rsid w:val="001C3F2D"/>
    <w:rsid w:val="001C441B"/>
    <w:rsid w:val="001C5BA2"/>
    <w:rsid w:val="001C6FE1"/>
    <w:rsid w:val="001C7561"/>
    <w:rsid w:val="001C76BA"/>
    <w:rsid w:val="001D092C"/>
    <w:rsid w:val="001D0DB0"/>
    <w:rsid w:val="001D157B"/>
    <w:rsid w:val="001D5158"/>
    <w:rsid w:val="001D51BA"/>
    <w:rsid w:val="001D53E7"/>
    <w:rsid w:val="001D5588"/>
    <w:rsid w:val="001D6342"/>
    <w:rsid w:val="001D69CD"/>
    <w:rsid w:val="001D6D3E"/>
    <w:rsid w:val="001D6D53"/>
    <w:rsid w:val="001D71E9"/>
    <w:rsid w:val="001D76D5"/>
    <w:rsid w:val="001D7B45"/>
    <w:rsid w:val="001E0387"/>
    <w:rsid w:val="001E038F"/>
    <w:rsid w:val="001E06AE"/>
    <w:rsid w:val="001E11AE"/>
    <w:rsid w:val="001E1706"/>
    <w:rsid w:val="001E2659"/>
    <w:rsid w:val="001E272F"/>
    <w:rsid w:val="001E2B7D"/>
    <w:rsid w:val="001E58E2"/>
    <w:rsid w:val="001E5FF0"/>
    <w:rsid w:val="001E6777"/>
    <w:rsid w:val="001E6D0A"/>
    <w:rsid w:val="001E7AED"/>
    <w:rsid w:val="001E7B7E"/>
    <w:rsid w:val="001E7F17"/>
    <w:rsid w:val="001F06AB"/>
    <w:rsid w:val="001F1D87"/>
    <w:rsid w:val="001F1DF9"/>
    <w:rsid w:val="001F1FDB"/>
    <w:rsid w:val="001F2151"/>
    <w:rsid w:val="001F22C3"/>
    <w:rsid w:val="001F3916"/>
    <w:rsid w:val="001F3C98"/>
    <w:rsid w:val="001F4578"/>
    <w:rsid w:val="001F4BE2"/>
    <w:rsid w:val="001F54C5"/>
    <w:rsid w:val="001F55E9"/>
    <w:rsid w:val="001F662C"/>
    <w:rsid w:val="001F6B1F"/>
    <w:rsid w:val="001F7074"/>
    <w:rsid w:val="002000CD"/>
    <w:rsid w:val="002002A3"/>
    <w:rsid w:val="00200490"/>
    <w:rsid w:val="00200B08"/>
    <w:rsid w:val="00200E60"/>
    <w:rsid w:val="00201F3A"/>
    <w:rsid w:val="002020EA"/>
    <w:rsid w:val="00203F96"/>
    <w:rsid w:val="00205AC0"/>
    <w:rsid w:val="0020638A"/>
    <w:rsid w:val="002069B2"/>
    <w:rsid w:val="00207716"/>
    <w:rsid w:val="00207CCA"/>
    <w:rsid w:val="00207FA3"/>
    <w:rsid w:val="00210741"/>
    <w:rsid w:val="00212BEA"/>
    <w:rsid w:val="00212CE3"/>
    <w:rsid w:val="00212F06"/>
    <w:rsid w:val="002132A3"/>
    <w:rsid w:val="0021343F"/>
    <w:rsid w:val="0021436C"/>
    <w:rsid w:val="00214B91"/>
    <w:rsid w:val="00214DA8"/>
    <w:rsid w:val="0021533F"/>
    <w:rsid w:val="00215423"/>
    <w:rsid w:val="002154AE"/>
    <w:rsid w:val="002158FA"/>
    <w:rsid w:val="002160D5"/>
    <w:rsid w:val="002170D6"/>
    <w:rsid w:val="00217DC0"/>
    <w:rsid w:val="00220600"/>
    <w:rsid w:val="002211DD"/>
    <w:rsid w:val="00221C81"/>
    <w:rsid w:val="002224DB"/>
    <w:rsid w:val="002225D9"/>
    <w:rsid w:val="00223FCB"/>
    <w:rsid w:val="0022429C"/>
    <w:rsid w:val="002252C3"/>
    <w:rsid w:val="002257D9"/>
    <w:rsid w:val="00225C54"/>
    <w:rsid w:val="00225E9A"/>
    <w:rsid w:val="00226438"/>
    <w:rsid w:val="00227760"/>
    <w:rsid w:val="00227C96"/>
    <w:rsid w:val="00227F78"/>
    <w:rsid w:val="0023065F"/>
    <w:rsid w:val="00230765"/>
    <w:rsid w:val="00230A9B"/>
    <w:rsid w:val="00230D18"/>
    <w:rsid w:val="00231407"/>
    <w:rsid w:val="00231777"/>
    <w:rsid w:val="002319E4"/>
    <w:rsid w:val="00231A5E"/>
    <w:rsid w:val="00232466"/>
    <w:rsid w:val="002330AC"/>
    <w:rsid w:val="0023328F"/>
    <w:rsid w:val="00234901"/>
    <w:rsid w:val="0023497C"/>
    <w:rsid w:val="0023540A"/>
    <w:rsid w:val="00235632"/>
    <w:rsid w:val="00235872"/>
    <w:rsid w:val="002359F7"/>
    <w:rsid w:val="00240E09"/>
    <w:rsid w:val="00241361"/>
    <w:rsid w:val="00241559"/>
    <w:rsid w:val="002421DE"/>
    <w:rsid w:val="002430A7"/>
    <w:rsid w:val="00243378"/>
    <w:rsid w:val="002435B3"/>
    <w:rsid w:val="002436C4"/>
    <w:rsid w:val="002437B0"/>
    <w:rsid w:val="002458EB"/>
    <w:rsid w:val="00247B2A"/>
    <w:rsid w:val="00247DC2"/>
    <w:rsid w:val="002500C8"/>
    <w:rsid w:val="00250594"/>
    <w:rsid w:val="00250D94"/>
    <w:rsid w:val="002512B4"/>
    <w:rsid w:val="00251D53"/>
    <w:rsid w:val="0025354E"/>
    <w:rsid w:val="00254611"/>
    <w:rsid w:val="002549A0"/>
    <w:rsid w:val="00255A67"/>
    <w:rsid w:val="00257355"/>
    <w:rsid w:val="00257543"/>
    <w:rsid w:val="0025775B"/>
    <w:rsid w:val="00260D19"/>
    <w:rsid w:val="002617E7"/>
    <w:rsid w:val="00263B42"/>
    <w:rsid w:val="00263FF1"/>
    <w:rsid w:val="00264228"/>
    <w:rsid w:val="00264334"/>
    <w:rsid w:val="0026473E"/>
    <w:rsid w:val="0026486C"/>
    <w:rsid w:val="00265941"/>
    <w:rsid w:val="00265BE9"/>
    <w:rsid w:val="00266214"/>
    <w:rsid w:val="00266C35"/>
    <w:rsid w:val="00267A61"/>
    <w:rsid w:val="00267C83"/>
    <w:rsid w:val="00270E20"/>
    <w:rsid w:val="00270E5F"/>
    <w:rsid w:val="0027144F"/>
    <w:rsid w:val="00271673"/>
    <w:rsid w:val="00271813"/>
    <w:rsid w:val="00271F3A"/>
    <w:rsid w:val="002726D2"/>
    <w:rsid w:val="00272E32"/>
    <w:rsid w:val="00273278"/>
    <w:rsid w:val="002737F4"/>
    <w:rsid w:val="002742EB"/>
    <w:rsid w:val="002744D7"/>
    <w:rsid w:val="00277240"/>
    <w:rsid w:val="00277809"/>
    <w:rsid w:val="00277884"/>
    <w:rsid w:val="00277F05"/>
    <w:rsid w:val="00280349"/>
    <w:rsid w:val="00280356"/>
    <w:rsid w:val="002805F5"/>
    <w:rsid w:val="00280751"/>
    <w:rsid w:val="0028179D"/>
    <w:rsid w:val="002827D8"/>
    <w:rsid w:val="0028280A"/>
    <w:rsid w:val="002832DD"/>
    <w:rsid w:val="0028387E"/>
    <w:rsid w:val="002844CD"/>
    <w:rsid w:val="00285876"/>
    <w:rsid w:val="00285A28"/>
    <w:rsid w:val="00285DE8"/>
    <w:rsid w:val="002867BC"/>
    <w:rsid w:val="00286ACD"/>
    <w:rsid w:val="00287838"/>
    <w:rsid w:val="002907B5"/>
    <w:rsid w:val="00290A17"/>
    <w:rsid w:val="00292EB7"/>
    <w:rsid w:val="00293ADE"/>
    <w:rsid w:val="00294B57"/>
    <w:rsid w:val="00296227"/>
    <w:rsid w:val="00296288"/>
    <w:rsid w:val="00296F44"/>
    <w:rsid w:val="00297090"/>
    <w:rsid w:val="00297684"/>
    <w:rsid w:val="0029777D"/>
    <w:rsid w:val="002A055E"/>
    <w:rsid w:val="002A1BC9"/>
    <w:rsid w:val="002A1CCC"/>
    <w:rsid w:val="002A1D4E"/>
    <w:rsid w:val="002A2153"/>
    <w:rsid w:val="002A2869"/>
    <w:rsid w:val="002A28AD"/>
    <w:rsid w:val="002A469E"/>
    <w:rsid w:val="002B0DF9"/>
    <w:rsid w:val="002B19CD"/>
    <w:rsid w:val="002B233E"/>
    <w:rsid w:val="002B24D6"/>
    <w:rsid w:val="002B4CCB"/>
    <w:rsid w:val="002B53DA"/>
    <w:rsid w:val="002B5A0B"/>
    <w:rsid w:val="002B6BC7"/>
    <w:rsid w:val="002C0134"/>
    <w:rsid w:val="002C03AB"/>
    <w:rsid w:val="002C14CE"/>
    <w:rsid w:val="002C1CD8"/>
    <w:rsid w:val="002C41E6"/>
    <w:rsid w:val="002C429D"/>
    <w:rsid w:val="002C492D"/>
    <w:rsid w:val="002C52F8"/>
    <w:rsid w:val="002C5FA5"/>
    <w:rsid w:val="002D071A"/>
    <w:rsid w:val="002D0CF2"/>
    <w:rsid w:val="002D28C6"/>
    <w:rsid w:val="002D34B2"/>
    <w:rsid w:val="002D3504"/>
    <w:rsid w:val="002D427A"/>
    <w:rsid w:val="002D48B0"/>
    <w:rsid w:val="002D58FA"/>
    <w:rsid w:val="002D5B37"/>
    <w:rsid w:val="002D667C"/>
    <w:rsid w:val="002D66B1"/>
    <w:rsid w:val="002D67C8"/>
    <w:rsid w:val="002D67F5"/>
    <w:rsid w:val="002D6A55"/>
    <w:rsid w:val="002D7637"/>
    <w:rsid w:val="002D77CC"/>
    <w:rsid w:val="002E0C8B"/>
    <w:rsid w:val="002E1548"/>
    <w:rsid w:val="002E169C"/>
    <w:rsid w:val="002E17F2"/>
    <w:rsid w:val="002E1B56"/>
    <w:rsid w:val="002E2B25"/>
    <w:rsid w:val="002E3CC2"/>
    <w:rsid w:val="002E5E46"/>
    <w:rsid w:val="002E70AF"/>
    <w:rsid w:val="002E7CAE"/>
    <w:rsid w:val="002F015B"/>
    <w:rsid w:val="002F01F1"/>
    <w:rsid w:val="002F077B"/>
    <w:rsid w:val="002F2771"/>
    <w:rsid w:val="002F2BAF"/>
    <w:rsid w:val="002F34E2"/>
    <w:rsid w:val="002F37A9"/>
    <w:rsid w:val="002F3996"/>
    <w:rsid w:val="002F5AAC"/>
    <w:rsid w:val="002F5EE1"/>
    <w:rsid w:val="002F5F9C"/>
    <w:rsid w:val="002F6133"/>
    <w:rsid w:val="002F6DA2"/>
    <w:rsid w:val="0030067B"/>
    <w:rsid w:val="00300776"/>
    <w:rsid w:val="00301CE6"/>
    <w:rsid w:val="00301FA3"/>
    <w:rsid w:val="0030256B"/>
    <w:rsid w:val="00303694"/>
    <w:rsid w:val="003049DF"/>
    <w:rsid w:val="0030501F"/>
    <w:rsid w:val="00305B93"/>
    <w:rsid w:val="00307BA1"/>
    <w:rsid w:val="00307C6D"/>
    <w:rsid w:val="003101EB"/>
    <w:rsid w:val="00310322"/>
    <w:rsid w:val="00310B29"/>
    <w:rsid w:val="0031106B"/>
    <w:rsid w:val="00311702"/>
    <w:rsid w:val="00311E82"/>
    <w:rsid w:val="00313740"/>
    <w:rsid w:val="00313CC5"/>
    <w:rsid w:val="00313FD6"/>
    <w:rsid w:val="0031411C"/>
    <w:rsid w:val="003143BD"/>
    <w:rsid w:val="00315363"/>
    <w:rsid w:val="003164C8"/>
    <w:rsid w:val="003177F2"/>
    <w:rsid w:val="003201E6"/>
    <w:rsid w:val="003203ED"/>
    <w:rsid w:val="00321558"/>
    <w:rsid w:val="003216E2"/>
    <w:rsid w:val="0032180E"/>
    <w:rsid w:val="00322C9F"/>
    <w:rsid w:val="003230F6"/>
    <w:rsid w:val="00324AC5"/>
    <w:rsid w:val="00324D23"/>
    <w:rsid w:val="00326446"/>
    <w:rsid w:val="00330DE5"/>
    <w:rsid w:val="00331751"/>
    <w:rsid w:val="003321A7"/>
    <w:rsid w:val="003333CE"/>
    <w:rsid w:val="0033348B"/>
    <w:rsid w:val="00334579"/>
    <w:rsid w:val="00335858"/>
    <w:rsid w:val="00335D8B"/>
    <w:rsid w:val="00336BDA"/>
    <w:rsid w:val="00336C51"/>
    <w:rsid w:val="003378A6"/>
    <w:rsid w:val="00340BCB"/>
    <w:rsid w:val="00340D90"/>
    <w:rsid w:val="00342BD7"/>
    <w:rsid w:val="00346BEF"/>
    <w:rsid w:val="00346DB5"/>
    <w:rsid w:val="003477B1"/>
    <w:rsid w:val="003502E2"/>
    <w:rsid w:val="00351522"/>
    <w:rsid w:val="0035355E"/>
    <w:rsid w:val="003564EC"/>
    <w:rsid w:val="00356685"/>
    <w:rsid w:val="00356FD8"/>
    <w:rsid w:val="00357380"/>
    <w:rsid w:val="00357C40"/>
    <w:rsid w:val="00360196"/>
    <w:rsid w:val="003602D9"/>
    <w:rsid w:val="003604CE"/>
    <w:rsid w:val="003606C1"/>
    <w:rsid w:val="00361CA0"/>
    <w:rsid w:val="00362699"/>
    <w:rsid w:val="00362C82"/>
    <w:rsid w:val="00364295"/>
    <w:rsid w:val="003645A6"/>
    <w:rsid w:val="00366823"/>
    <w:rsid w:val="00366D29"/>
    <w:rsid w:val="00367B03"/>
    <w:rsid w:val="00370822"/>
    <w:rsid w:val="00370DF4"/>
    <w:rsid w:val="00370E47"/>
    <w:rsid w:val="00371904"/>
    <w:rsid w:val="00371F14"/>
    <w:rsid w:val="003728DE"/>
    <w:rsid w:val="00372F40"/>
    <w:rsid w:val="00373C51"/>
    <w:rsid w:val="00373CA0"/>
    <w:rsid w:val="0037421F"/>
    <w:rsid w:val="003742AC"/>
    <w:rsid w:val="00374FDC"/>
    <w:rsid w:val="003755A8"/>
    <w:rsid w:val="00376688"/>
    <w:rsid w:val="00376AB5"/>
    <w:rsid w:val="00377CE1"/>
    <w:rsid w:val="003837F4"/>
    <w:rsid w:val="00383F82"/>
    <w:rsid w:val="00383FD3"/>
    <w:rsid w:val="003852D9"/>
    <w:rsid w:val="00385786"/>
    <w:rsid w:val="00385826"/>
    <w:rsid w:val="00385BF0"/>
    <w:rsid w:val="003860F9"/>
    <w:rsid w:val="003876FF"/>
    <w:rsid w:val="0039055F"/>
    <w:rsid w:val="00390D40"/>
    <w:rsid w:val="00391494"/>
    <w:rsid w:val="00391F94"/>
    <w:rsid w:val="003939FF"/>
    <w:rsid w:val="00393CF0"/>
    <w:rsid w:val="003940E2"/>
    <w:rsid w:val="003943A4"/>
    <w:rsid w:val="00394892"/>
    <w:rsid w:val="003948AF"/>
    <w:rsid w:val="00396132"/>
    <w:rsid w:val="00397223"/>
    <w:rsid w:val="003977C8"/>
    <w:rsid w:val="00397CF4"/>
    <w:rsid w:val="00397FD2"/>
    <w:rsid w:val="003A1B41"/>
    <w:rsid w:val="003A2223"/>
    <w:rsid w:val="003A2A0F"/>
    <w:rsid w:val="003A3F51"/>
    <w:rsid w:val="003A45A1"/>
    <w:rsid w:val="003A5B0A"/>
    <w:rsid w:val="003A60EB"/>
    <w:rsid w:val="003A6BAC"/>
    <w:rsid w:val="003A70A4"/>
    <w:rsid w:val="003A7EF3"/>
    <w:rsid w:val="003B037A"/>
    <w:rsid w:val="003B1069"/>
    <w:rsid w:val="003B13DB"/>
    <w:rsid w:val="003B1558"/>
    <w:rsid w:val="003B159C"/>
    <w:rsid w:val="003B2EF3"/>
    <w:rsid w:val="003B3202"/>
    <w:rsid w:val="003B32DC"/>
    <w:rsid w:val="003B32E0"/>
    <w:rsid w:val="003B369F"/>
    <w:rsid w:val="003B36A3"/>
    <w:rsid w:val="003B3CBE"/>
    <w:rsid w:val="003B54F7"/>
    <w:rsid w:val="003B5D94"/>
    <w:rsid w:val="003B6072"/>
    <w:rsid w:val="003B64BB"/>
    <w:rsid w:val="003B7FE5"/>
    <w:rsid w:val="003C043C"/>
    <w:rsid w:val="003C11C8"/>
    <w:rsid w:val="003C2702"/>
    <w:rsid w:val="003C3999"/>
    <w:rsid w:val="003C4F32"/>
    <w:rsid w:val="003C6BE9"/>
    <w:rsid w:val="003C7806"/>
    <w:rsid w:val="003D109F"/>
    <w:rsid w:val="003D2478"/>
    <w:rsid w:val="003D3C45"/>
    <w:rsid w:val="003D43F9"/>
    <w:rsid w:val="003D5498"/>
    <w:rsid w:val="003D5667"/>
    <w:rsid w:val="003D58AC"/>
    <w:rsid w:val="003D5B1F"/>
    <w:rsid w:val="003D60D5"/>
    <w:rsid w:val="003D7037"/>
    <w:rsid w:val="003D74BD"/>
    <w:rsid w:val="003D75F6"/>
    <w:rsid w:val="003E00AB"/>
    <w:rsid w:val="003E1149"/>
    <w:rsid w:val="003E15FA"/>
    <w:rsid w:val="003E18AD"/>
    <w:rsid w:val="003E3055"/>
    <w:rsid w:val="003E49AC"/>
    <w:rsid w:val="003E4DAA"/>
    <w:rsid w:val="003E55DB"/>
    <w:rsid w:val="003E55E4"/>
    <w:rsid w:val="003E5EAD"/>
    <w:rsid w:val="003E68F2"/>
    <w:rsid w:val="003E74E3"/>
    <w:rsid w:val="003E7F05"/>
    <w:rsid w:val="003F015A"/>
    <w:rsid w:val="003F050F"/>
    <w:rsid w:val="003F05C7"/>
    <w:rsid w:val="003F0E7B"/>
    <w:rsid w:val="003F15A4"/>
    <w:rsid w:val="003F2C92"/>
    <w:rsid w:val="003F2CD4"/>
    <w:rsid w:val="003F32A5"/>
    <w:rsid w:val="003F61BF"/>
    <w:rsid w:val="003F6BBE"/>
    <w:rsid w:val="003F6C0D"/>
    <w:rsid w:val="003F6E3C"/>
    <w:rsid w:val="003F7FCC"/>
    <w:rsid w:val="004000E8"/>
    <w:rsid w:val="0040012B"/>
    <w:rsid w:val="00400C93"/>
    <w:rsid w:val="004011F1"/>
    <w:rsid w:val="00401791"/>
    <w:rsid w:val="00402480"/>
    <w:rsid w:val="00402BF4"/>
    <w:rsid w:val="00402E2B"/>
    <w:rsid w:val="0040319F"/>
    <w:rsid w:val="004032CB"/>
    <w:rsid w:val="00403F9A"/>
    <w:rsid w:val="00404BC9"/>
    <w:rsid w:val="00404DA1"/>
    <w:rsid w:val="0040512B"/>
    <w:rsid w:val="00405275"/>
    <w:rsid w:val="00405CA5"/>
    <w:rsid w:val="0040697A"/>
    <w:rsid w:val="00406AE6"/>
    <w:rsid w:val="004071BF"/>
    <w:rsid w:val="00407B2B"/>
    <w:rsid w:val="00407CD3"/>
    <w:rsid w:val="00410134"/>
    <w:rsid w:val="00410B72"/>
    <w:rsid w:val="00410F18"/>
    <w:rsid w:val="00411BDA"/>
    <w:rsid w:val="0041263E"/>
    <w:rsid w:val="004129FD"/>
    <w:rsid w:val="00413AAC"/>
    <w:rsid w:val="00413E92"/>
    <w:rsid w:val="004148A7"/>
    <w:rsid w:val="0041558D"/>
    <w:rsid w:val="00417813"/>
    <w:rsid w:val="0042058D"/>
    <w:rsid w:val="00421105"/>
    <w:rsid w:val="004227C6"/>
    <w:rsid w:val="00422AA4"/>
    <w:rsid w:val="004242F4"/>
    <w:rsid w:val="004252E5"/>
    <w:rsid w:val="00426563"/>
    <w:rsid w:val="00426684"/>
    <w:rsid w:val="004267C4"/>
    <w:rsid w:val="00426A48"/>
    <w:rsid w:val="00427248"/>
    <w:rsid w:val="00435333"/>
    <w:rsid w:val="0043622E"/>
    <w:rsid w:val="00437447"/>
    <w:rsid w:val="00437692"/>
    <w:rsid w:val="00437C37"/>
    <w:rsid w:val="00440A3D"/>
    <w:rsid w:val="0044103B"/>
    <w:rsid w:val="00441691"/>
    <w:rsid w:val="00441A92"/>
    <w:rsid w:val="00441DA4"/>
    <w:rsid w:val="00441E58"/>
    <w:rsid w:val="00442119"/>
    <w:rsid w:val="00442ADA"/>
    <w:rsid w:val="004431DC"/>
    <w:rsid w:val="00443D1C"/>
    <w:rsid w:val="00444F56"/>
    <w:rsid w:val="00445E78"/>
    <w:rsid w:val="00446488"/>
    <w:rsid w:val="00447275"/>
    <w:rsid w:val="004510C4"/>
    <w:rsid w:val="004517AA"/>
    <w:rsid w:val="00452418"/>
    <w:rsid w:val="00452CAC"/>
    <w:rsid w:val="004547D2"/>
    <w:rsid w:val="00454B9F"/>
    <w:rsid w:val="0045618C"/>
    <w:rsid w:val="004561E5"/>
    <w:rsid w:val="00456665"/>
    <w:rsid w:val="00457565"/>
    <w:rsid w:val="00457B71"/>
    <w:rsid w:val="00460C97"/>
    <w:rsid w:val="00462096"/>
    <w:rsid w:val="00462275"/>
    <w:rsid w:val="00463A28"/>
    <w:rsid w:val="00464090"/>
    <w:rsid w:val="00464396"/>
    <w:rsid w:val="0046478B"/>
    <w:rsid w:val="004669E2"/>
    <w:rsid w:val="00467111"/>
    <w:rsid w:val="00467A29"/>
    <w:rsid w:val="00470B44"/>
    <w:rsid w:val="00470C31"/>
    <w:rsid w:val="00471DE0"/>
    <w:rsid w:val="0047289A"/>
    <w:rsid w:val="004729C8"/>
    <w:rsid w:val="0047321F"/>
    <w:rsid w:val="0047328E"/>
    <w:rsid w:val="004734D0"/>
    <w:rsid w:val="00474221"/>
    <w:rsid w:val="00474B8D"/>
    <w:rsid w:val="00475548"/>
    <w:rsid w:val="0047556B"/>
    <w:rsid w:val="00475B9D"/>
    <w:rsid w:val="0047622B"/>
    <w:rsid w:val="00476832"/>
    <w:rsid w:val="00476AA5"/>
    <w:rsid w:val="00477768"/>
    <w:rsid w:val="004801A2"/>
    <w:rsid w:val="00480211"/>
    <w:rsid w:val="00482E7D"/>
    <w:rsid w:val="00483009"/>
    <w:rsid w:val="00483117"/>
    <w:rsid w:val="0048522B"/>
    <w:rsid w:val="00487F72"/>
    <w:rsid w:val="0049077B"/>
    <w:rsid w:val="00490F5E"/>
    <w:rsid w:val="0049141A"/>
    <w:rsid w:val="00492BC5"/>
    <w:rsid w:val="0049390C"/>
    <w:rsid w:val="00493B2E"/>
    <w:rsid w:val="004956D9"/>
    <w:rsid w:val="0049576D"/>
    <w:rsid w:val="004964F1"/>
    <w:rsid w:val="0049673F"/>
    <w:rsid w:val="00496C21"/>
    <w:rsid w:val="004974CE"/>
    <w:rsid w:val="004A0236"/>
    <w:rsid w:val="004A16BC"/>
    <w:rsid w:val="004A2750"/>
    <w:rsid w:val="004A2B94"/>
    <w:rsid w:val="004A327D"/>
    <w:rsid w:val="004A3E32"/>
    <w:rsid w:val="004A478F"/>
    <w:rsid w:val="004A67F8"/>
    <w:rsid w:val="004B023F"/>
    <w:rsid w:val="004B1048"/>
    <w:rsid w:val="004B12F8"/>
    <w:rsid w:val="004B2A5F"/>
    <w:rsid w:val="004B3CAA"/>
    <w:rsid w:val="004B520A"/>
    <w:rsid w:val="004B5A45"/>
    <w:rsid w:val="004B5EAD"/>
    <w:rsid w:val="004B6793"/>
    <w:rsid w:val="004B6F6A"/>
    <w:rsid w:val="004B7C0C"/>
    <w:rsid w:val="004C0272"/>
    <w:rsid w:val="004C029D"/>
    <w:rsid w:val="004C1059"/>
    <w:rsid w:val="004C15BC"/>
    <w:rsid w:val="004C3898"/>
    <w:rsid w:val="004C38A4"/>
    <w:rsid w:val="004C4005"/>
    <w:rsid w:val="004C54C8"/>
    <w:rsid w:val="004C57BC"/>
    <w:rsid w:val="004C66F2"/>
    <w:rsid w:val="004C6A8B"/>
    <w:rsid w:val="004C6EAC"/>
    <w:rsid w:val="004D0013"/>
    <w:rsid w:val="004D3221"/>
    <w:rsid w:val="004D36B1"/>
    <w:rsid w:val="004D3F59"/>
    <w:rsid w:val="004D4259"/>
    <w:rsid w:val="004D4359"/>
    <w:rsid w:val="004D63AE"/>
    <w:rsid w:val="004D772C"/>
    <w:rsid w:val="004D7EBD"/>
    <w:rsid w:val="004E066B"/>
    <w:rsid w:val="004E06DF"/>
    <w:rsid w:val="004E0F9F"/>
    <w:rsid w:val="004E1728"/>
    <w:rsid w:val="004E206C"/>
    <w:rsid w:val="004E265E"/>
    <w:rsid w:val="004E2680"/>
    <w:rsid w:val="004E28F9"/>
    <w:rsid w:val="004E4365"/>
    <w:rsid w:val="004E462E"/>
    <w:rsid w:val="004E56DC"/>
    <w:rsid w:val="004E5BED"/>
    <w:rsid w:val="004E6125"/>
    <w:rsid w:val="004E76F4"/>
    <w:rsid w:val="004E7943"/>
    <w:rsid w:val="004F0B4E"/>
    <w:rsid w:val="004F0B6C"/>
    <w:rsid w:val="004F178D"/>
    <w:rsid w:val="004F2078"/>
    <w:rsid w:val="004F262B"/>
    <w:rsid w:val="004F2F22"/>
    <w:rsid w:val="004F3397"/>
    <w:rsid w:val="004F4DA3"/>
    <w:rsid w:val="004F57B8"/>
    <w:rsid w:val="004F60A8"/>
    <w:rsid w:val="004F6E60"/>
    <w:rsid w:val="004F7037"/>
    <w:rsid w:val="004F75DF"/>
    <w:rsid w:val="004F7E56"/>
    <w:rsid w:val="0050025A"/>
    <w:rsid w:val="005003E3"/>
    <w:rsid w:val="00501521"/>
    <w:rsid w:val="00501B0F"/>
    <w:rsid w:val="0050259B"/>
    <w:rsid w:val="00502AC1"/>
    <w:rsid w:val="00502C69"/>
    <w:rsid w:val="00503EE0"/>
    <w:rsid w:val="005048F2"/>
    <w:rsid w:val="00506320"/>
    <w:rsid w:val="00506557"/>
    <w:rsid w:val="005065BB"/>
    <w:rsid w:val="00506712"/>
    <w:rsid w:val="0050677A"/>
    <w:rsid w:val="00510866"/>
    <w:rsid w:val="005108D8"/>
    <w:rsid w:val="005116F9"/>
    <w:rsid w:val="00513326"/>
    <w:rsid w:val="00513583"/>
    <w:rsid w:val="00513EA1"/>
    <w:rsid w:val="00513F5A"/>
    <w:rsid w:val="00513F76"/>
    <w:rsid w:val="005147FD"/>
    <w:rsid w:val="005153A7"/>
    <w:rsid w:val="00515913"/>
    <w:rsid w:val="00516E26"/>
    <w:rsid w:val="005219CF"/>
    <w:rsid w:val="00521D94"/>
    <w:rsid w:val="00521D96"/>
    <w:rsid w:val="00521E4E"/>
    <w:rsid w:val="005225D6"/>
    <w:rsid w:val="00525928"/>
    <w:rsid w:val="005260BF"/>
    <w:rsid w:val="00526CD9"/>
    <w:rsid w:val="00527394"/>
    <w:rsid w:val="0052742E"/>
    <w:rsid w:val="0052781F"/>
    <w:rsid w:val="00527AA0"/>
    <w:rsid w:val="0053257E"/>
    <w:rsid w:val="00532EC2"/>
    <w:rsid w:val="005332BE"/>
    <w:rsid w:val="00533324"/>
    <w:rsid w:val="0053342C"/>
    <w:rsid w:val="00533701"/>
    <w:rsid w:val="0053466C"/>
    <w:rsid w:val="00534699"/>
    <w:rsid w:val="00534B59"/>
    <w:rsid w:val="00534D85"/>
    <w:rsid w:val="005360FD"/>
    <w:rsid w:val="00536313"/>
    <w:rsid w:val="00536521"/>
    <w:rsid w:val="00536759"/>
    <w:rsid w:val="00536783"/>
    <w:rsid w:val="00536A56"/>
    <w:rsid w:val="00537BC6"/>
    <w:rsid w:val="00537C62"/>
    <w:rsid w:val="005407F4"/>
    <w:rsid w:val="005408D7"/>
    <w:rsid w:val="00540A13"/>
    <w:rsid w:val="00540AD1"/>
    <w:rsid w:val="0054130B"/>
    <w:rsid w:val="005431FF"/>
    <w:rsid w:val="0054450D"/>
    <w:rsid w:val="005465A0"/>
    <w:rsid w:val="00546962"/>
    <w:rsid w:val="00546970"/>
    <w:rsid w:val="00546C5E"/>
    <w:rsid w:val="00547780"/>
    <w:rsid w:val="00547FEB"/>
    <w:rsid w:val="005515E5"/>
    <w:rsid w:val="00554E19"/>
    <w:rsid w:val="00554F5F"/>
    <w:rsid w:val="0055629C"/>
    <w:rsid w:val="00556775"/>
    <w:rsid w:val="00560219"/>
    <w:rsid w:val="00560645"/>
    <w:rsid w:val="0056121F"/>
    <w:rsid w:val="005622DC"/>
    <w:rsid w:val="00562CD9"/>
    <w:rsid w:val="00562F0F"/>
    <w:rsid w:val="00563156"/>
    <w:rsid w:val="005636CC"/>
    <w:rsid w:val="00563A78"/>
    <w:rsid w:val="00564F88"/>
    <w:rsid w:val="0056592E"/>
    <w:rsid w:val="00565A28"/>
    <w:rsid w:val="00565AB6"/>
    <w:rsid w:val="00566A8F"/>
    <w:rsid w:val="00567B15"/>
    <w:rsid w:val="00567B48"/>
    <w:rsid w:val="00570162"/>
    <w:rsid w:val="005707D2"/>
    <w:rsid w:val="00571C7C"/>
    <w:rsid w:val="00572505"/>
    <w:rsid w:val="00572607"/>
    <w:rsid w:val="0057561E"/>
    <w:rsid w:val="00576190"/>
    <w:rsid w:val="0058070C"/>
    <w:rsid w:val="005815C1"/>
    <w:rsid w:val="00581632"/>
    <w:rsid w:val="005821C8"/>
    <w:rsid w:val="00582809"/>
    <w:rsid w:val="00583500"/>
    <w:rsid w:val="00585AE4"/>
    <w:rsid w:val="00585FCB"/>
    <w:rsid w:val="0058798C"/>
    <w:rsid w:val="005879EF"/>
    <w:rsid w:val="0059008B"/>
    <w:rsid w:val="005900FA"/>
    <w:rsid w:val="0059032B"/>
    <w:rsid w:val="00590A12"/>
    <w:rsid w:val="00591823"/>
    <w:rsid w:val="005935A4"/>
    <w:rsid w:val="0059417F"/>
    <w:rsid w:val="005945FC"/>
    <w:rsid w:val="005948C2"/>
    <w:rsid w:val="00595DCA"/>
    <w:rsid w:val="005964C3"/>
    <w:rsid w:val="0059735E"/>
    <w:rsid w:val="0059779B"/>
    <w:rsid w:val="005A008A"/>
    <w:rsid w:val="005A1DD0"/>
    <w:rsid w:val="005A1E0D"/>
    <w:rsid w:val="005A209A"/>
    <w:rsid w:val="005A2412"/>
    <w:rsid w:val="005A6313"/>
    <w:rsid w:val="005A662D"/>
    <w:rsid w:val="005A6FF3"/>
    <w:rsid w:val="005B00B1"/>
    <w:rsid w:val="005B11C1"/>
    <w:rsid w:val="005B1409"/>
    <w:rsid w:val="005B1E19"/>
    <w:rsid w:val="005B2AE6"/>
    <w:rsid w:val="005B35D7"/>
    <w:rsid w:val="005B392A"/>
    <w:rsid w:val="005B3AA3"/>
    <w:rsid w:val="005B4E4A"/>
    <w:rsid w:val="005B548D"/>
    <w:rsid w:val="005B5BE0"/>
    <w:rsid w:val="005B631B"/>
    <w:rsid w:val="005B68F4"/>
    <w:rsid w:val="005B6F83"/>
    <w:rsid w:val="005C02C1"/>
    <w:rsid w:val="005C0DB8"/>
    <w:rsid w:val="005C17BA"/>
    <w:rsid w:val="005C1A9D"/>
    <w:rsid w:val="005C207D"/>
    <w:rsid w:val="005C438D"/>
    <w:rsid w:val="005C5E3D"/>
    <w:rsid w:val="005C687B"/>
    <w:rsid w:val="005C74FB"/>
    <w:rsid w:val="005D0CDC"/>
    <w:rsid w:val="005D1411"/>
    <w:rsid w:val="005D1602"/>
    <w:rsid w:val="005D28DF"/>
    <w:rsid w:val="005D3B8A"/>
    <w:rsid w:val="005D4581"/>
    <w:rsid w:val="005D4BC5"/>
    <w:rsid w:val="005D6189"/>
    <w:rsid w:val="005D64B9"/>
    <w:rsid w:val="005D78F9"/>
    <w:rsid w:val="005E20EA"/>
    <w:rsid w:val="005E268A"/>
    <w:rsid w:val="005E3353"/>
    <w:rsid w:val="005E385F"/>
    <w:rsid w:val="005E4383"/>
    <w:rsid w:val="005E46DD"/>
    <w:rsid w:val="005E4F81"/>
    <w:rsid w:val="005E5B81"/>
    <w:rsid w:val="005F1051"/>
    <w:rsid w:val="005F1327"/>
    <w:rsid w:val="005F236B"/>
    <w:rsid w:val="005F2452"/>
    <w:rsid w:val="005F2815"/>
    <w:rsid w:val="005F2CB1"/>
    <w:rsid w:val="005F2F10"/>
    <w:rsid w:val="005F3025"/>
    <w:rsid w:val="005F4F51"/>
    <w:rsid w:val="005F618C"/>
    <w:rsid w:val="005F6B19"/>
    <w:rsid w:val="005F70BD"/>
    <w:rsid w:val="005F7C3F"/>
    <w:rsid w:val="006004C4"/>
    <w:rsid w:val="00600579"/>
    <w:rsid w:val="00602218"/>
    <w:rsid w:val="006023E0"/>
    <w:rsid w:val="0060283C"/>
    <w:rsid w:val="00604016"/>
    <w:rsid w:val="00604F14"/>
    <w:rsid w:val="00606005"/>
    <w:rsid w:val="00606EB7"/>
    <w:rsid w:val="006073B1"/>
    <w:rsid w:val="00607897"/>
    <w:rsid w:val="00607993"/>
    <w:rsid w:val="00610720"/>
    <w:rsid w:val="006118D9"/>
    <w:rsid w:val="00611B83"/>
    <w:rsid w:val="00611F0B"/>
    <w:rsid w:val="0061237A"/>
    <w:rsid w:val="00612466"/>
    <w:rsid w:val="00612C45"/>
    <w:rsid w:val="00613257"/>
    <w:rsid w:val="0061419A"/>
    <w:rsid w:val="006141B4"/>
    <w:rsid w:val="0061422B"/>
    <w:rsid w:val="0061479A"/>
    <w:rsid w:val="0061488E"/>
    <w:rsid w:val="00614E02"/>
    <w:rsid w:val="006166EE"/>
    <w:rsid w:val="00617015"/>
    <w:rsid w:val="0062025E"/>
    <w:rsid w:val="00620A71"/>
    <w:rsid w:val="00620D80"/>
    <w:rsid w:val="00620F3F"/>
    <w:rsid w:val="00621E88"/>
    <w:rsid w:val="00622652"/>
    <w:rsid w:val="0062283E"/>
    <w:rsid w:val="00623105"/>
    <w:rsid w:val="0062318A"/>
    <w:rsid w:val="0062346F"/>
    <w:rsid w:val="006234A6"/>
    <w:rsid w:val="00624122"/>
    <w:rsid w:val="00627730"/>
    <w:rsid w:val="00630001"/>
    <w:rsid w:val="006311B3"/>
    <w:rsid w:val="00631F21"/>
    <w:rsid w:val="006323CC"/>
    <w:rsid w:val="0063284C"/>
    <w:rsid w:val="0063481E"/>
    <w:rsid w:val="0063494F"/>
    <w:rsid w:val="00634F11"/>
    <w:rsid w:val="006356EB"/>
    <w:rsid w:val="00636398"/>
    <w:rsid w:val="006368D3"/>
    <w:rsid w:val="00637529"/>
    <w:rsid w:val="006377EC"/>
    <w:rsid w:val="00637BDF"/>
    <w:rsid w:val="00637E06"/>
    <w:rsid w:val="00637F98"/>
    <w:rsid w:val="0064151F"/>
    <w:rsid w:val="00641533"/>
    <w:rsid w:val="00641BF3"/>
    <w:rsid w:val="0064208D"/>
    <w:rsid w:val="00643475"/>
    <w:rsid w:val="0064396A"/>
    <w:rsid w:val="0064539D"/>
    <w:rsid w:val="006459AD"/>
    <w:rsid w:val="0064624E"/>
    <w:rsid w:val="00646DC1"/>
    <w:rsid w:val="006478FE"/>
    <w:rsid w:val="00647F6B"/>
    <w:rsid w:val="00647F78"/>
    <w:rsid w:val="006508B6"/>
    <w:rsid w:val="00650AB9"/>
    <w:rsid w:val="00650B73"/>
    <w:rsid w:val="00652C3F"/>
    <w:rsid w:val="00652E37"/>
    <w:rsid w:val="006531C9"/>
    <w:rsid w:val="0065572A"/>
    <w:rsid w:val="00655733"/>
    <w:rsid w:val="00655ACD"/>
    <w:rsid w:val="00656461"/>
    <w:rsid w:val="00656A92"/>
    <w:rsid w:val="00656DDE"/>
    <w:rsid w:val="0066011D"/>
    <w:rsid w:val="006607C0"/>
    <w:rsid w:val="006613A6"/>
    <w:rsid w:val="00661A1E"/>
    <w:rsid w:val="00662732"/>
    <w:rsid w:val="006627A2"/>
    <w:rsid w:val="006634E6"/>
    <w:rsid w:val="00663B9E"/>
    <w:rsid w:val="00664257"/>
    <w:rsid w:val="006655EE"/>
    <w:rsid w:val="00666467"/>
    <w:rsid w:val="00667EE7"/>
    <w:rsid w:val="00667FEF"/>
    <w:rsid w:val="00670922"/>
    <w:rsid w:val="00670BE1"/>
    <w:rsid w:val="00671C39"/>
    <w:rsid w:val="0067218F"/>
    <w:rsid w:val="006727B3"/>
    <w:rsid w:val="0067282B"/>
    <w:rsid w:val="00672C6C"/>
    <w:rsid w:val="006740AE"/>
    <w:rsid w:val="006741F2"/>
    <w:rsid w:val="00674CC3"/>
    <w:rsid w:val="00675C72"/>
    <w:rsid w:val="00676B7E"/>
    <w:rsid w:val="006771F9"/>
    <w:rsid w:val="006776D7"/>
    <w:rsid w:val="00677FE2"/>
    <w:rsid w:val="006806DA"/>
    <w:rsid w:val="00680857"/>
    <w:rsid w:val="00680DA6"/>
    <w:rsid w:val="00681003"/>
    <w:rsid w:val="00681611"/>
    <w:rsid w:val="006817C9"/>
    <w:rsid w:val="00681936"/>
    <w:rsid w:val="00682D66"/>
    <w:rsid w:val="00683C79"/>
    <w:rsid w:val="00683ECE"/>
    <w:rsid w:val="00684204"/>
    <w:rsid w:val="006842E2"/>
    <w:rsid w:val="00684CE4"/>
    <w:rsid w:val="00685470"/>
    <w:rsid w:val="006857A6"/>
    <w:rsid w:val="00690439"/>
    <w:rsid w:val="00690C85"/>
    <w:rsid w:val="0069168C"/>
    <w:rsid w:val="00694B37"/>
    <w:rsid w:val="00694C90"/>
    <w:rsid w:val="006951F2"/>
    <w:rsid w:val="00695AE7"/>
    <w:rsid w:val="00695FC2"/>
    <w:rsid w:val="0069655B"/>
    <w:rsid w:val="00696949"/>
    <w:rsid w:val="00697052"/>
    <w:rsid w:val="006A0518"/>
    <w:rsid w:val="006A2224"/>
    <w:rsid w:val="006A248B"/>
    <w:rsid w:val="006A259F"/>
    <w:rsid w:val="006A2F1A"/>
    <w:rsid w:val="006A3FB8"/>
    <w:rsid w:val="006A46FB"/>
    <w:rsid w:val="006A4C0C"/>
    <w:rsid w:val="006A510D"/>
    <w:rsid w:val="006A541C"/>
    <w:rsid w:val="006A5E28"/>
    <w:rsid w:val="006A63C3"/>
    <w:rsid w:val="006A697B"/>
    <w:rsid w:val="006A7AFF"/>
    <w:rsid w:val="006A7E17"/>
    <w:rsid w:val="006B08B9"/>
    <w:rsid w:val="006B08F4"/>
    <w:rsid w:val="006B0D38"/>
    <w:rsid w:val="006B1816"/>
    <w:rsid w:val="006B2099"/>
    <w:rsid w:val="006B4C95"/>
    <w:rsid w:val="006B50CF"/>
    <w:rsid w:val="006B7212"/>
    <w:rsid w:val="006B761E"/>
    <w:rsid w:val="006B7E3D"/>
    <w:rsid w:val="006C03B8"/>
    <w:rsid w:val="006C12F0"/>
    <w:rsid w:val="006C1611"/>
    <w:rsid w:val="006C1C41"/>
    <w:rsid w:val="006C1CDA"/>
    <w:rsid w:val="006C2E68"/>
    <w:rsid w:val="006C3155"/>
    <w:rsid w:val="006C3995"/>
    <w:rsid w:val="006C43F2"/>
    <w:rsid w:val="006C460A"/>
    <w:rsid w:val="006C50EB"/>
    <w:rsid w:val="006C5746"/>
    <w:rsid w:val="006C5A17"/>
    <w:rsid w:val="006C5EC9"/>
    <w:rsid w:val="006C6059"/>
    <w:rsid w:val="006C7522"/>
    <w:rsid w:val="006D0571"/>
    <w:rsid w:val="006D1630"/>
    <w:rsid w:val="006D1A78"/>
    <w:rsid w:val="006D2271"/>
    <w:rsid w:val="006D27C7"/>
    <w:rsid w:val="006D3459"/>
    <w:rsid w:val="006D3810"/>
    <w:rsid w:val="006D3A63"/>
    <w:rsid w:val="006D495F"/>
    <w:rsid w:val="006D5148"/>
    <w:rsid w:val="006D5926"/>
    <w:rsid w:val="006D5E31"/>
    <w:rsid w:val="006D6F08"/>
    <w:rsid w:val="006D78EF"/>
    <w:rsid w:val="006E05CB"/>
    <w:rsid w:val="006E062C"/>
    <w:rsid w:val="006E1C82"/>
    <w:rsid w:val="006E2569"/>
    <w:rsid w:val="006E28B7"/>
    <w:rsid w:val="006E2A9B"/>
    <w:rsid w:val="006E3310"/>
    <w:rsid w:val="006E4E08"/>
    <w:rsid w:val="006E4E39"/>
    <w:rsid w:val="006E4F65"/>
    <w:rsid w:val="006E565E"/>
    <w:rsid w:val="006E673D"/>
    <w:rsid w:val="006E79A7"/>
    <w:rsid w:val="006E7D3B"/>
    <w:rsid w:val="006EBE2D"/>
    <w:rsid w:val="006F019F"/>
    <w:rsid w:val="006F0E2B"/>
    <w:rsid w:val="006F1B70"/>
    <w:rsid w:val="006F24F0"/>
    <w:rsid w:val="006F341D"/>
    <w:rsid w:val="006F38B7"/>
    <w:rsid w:val="006F3CDE"/>
    <w:rsid w:val="006F401D"/>
    <w:rsid w:val="006F418A"/>
    <w:rsid w:val="006F4334"/>
    <w:rsid w:val="006F45BE"/>
    <w:rsid w:val="006F58D4"/>
    <w:rsid w:val="006F6582"/>
    <w:rsid w:val="006F6D11"/>
    <w:rsid w:val="006F7693"/>
    <w:rsid w:val="006F7F9E"/>
    <w:rsid w:val="00700540"/>
    <w:rsid w:val="00700A5E"/>
    <w:rsid w:val="007020BB"/>
    <w:rsid w:val="00702CFB"/>
    <w:rsid w:val="0070346E"/>
    <w:rsid w:val="00703628"/>
    <w:rsid w:val="00704EDB"/>
    <w:rsid w:val="00706101"/>
    <w:rsid w:val="00707072"/>
    <w:rsid w:val="00707D61"/>
    <w:rsid w:val="00707F9E"/>
    <w:rsid w:val="0071021F"/>
    <w:rsid w:val="00710973"/>
    <w:rsid w:val="007115AA"/>
    <w:rsid w:val="0071180A"/>
    <w:rsid w:val="007119EB"/>
    <w:rsid w:val="00712287"/>
    <w:rsid w:val="00712772"/>
    <w:rsid w:val="007148D3"/>
    <w:rsid w:val="00714A74"/>
    <w:rsid w:val="0071504C"/>
    <w:rsid w:val="00715B9A"/>
    <w:rsid w:val="00715DF1"/>
    <w:rsid w:val="00716CDE"/>
    <w:rsid w:val="00716CF5"/>
    <w:rsid w:val="007205A2"/>
    <w:rsid w:val="00721FE4"/>
    <w:rsid w:val="007238E4"/>
    <w:rsid w:val="0072396E"/>
    <w:rsid w:val="00724505"/>
    <w:rsid w:val="007247DC"/>
    <w:rsid w:val="007257D0"/>
    <w:rsid w:val="00726EA6"/>
    <w:rsid w:val="0072702A"/>
    <w:rsid w:val="00727208"/>
    <w:rsid w:val="00727680"/>
    <w:rsid w:val="007300CA"/>
    <w:rsid w:val="00732B17"/>
    <w:rsid w:val="00733109"/>
    <w:rsid w:val="00733557"/>
    <w:rsid w:val="0073484D"/>
    <w:rsid w:val="007348B1"/>
    <w:rsid w:val="007362A6"/>
    <w:rsid w:val="00736D7D"/>
    <w:rsid w:val="00736F29"/>
    <w:rsid w:val="007373C0"/>
    <w:rsid w:val="007376CD"/>
    <w:rsid w:val="007377DC"/>
    <w:rsid w:val="00737F93"/>
    <w:rsid w:val="00740E58"/>
    <w:rsid w:val="00740EFD"/>
    <w:rsid w:val="00740F9B"/>
    <w:rsid w:val="007413D6"/>
    <w:rsid w:val="007445A0"/>
    <w:rsid w:val="0074524B"/>
    <w:rsid w:val="00747CC3"/>
    <w:rsid w:val="00747D8B"/>
    <w:rsid w:val="00751228"/>
    <w:rsid w:val="00751930"/>
    <w:rsid w:val="00753AA9"/>
    <w:rsid w:val="00754F17"/>
    <w:rsid w:val="00756A9D"/>
    <w:rsid w:val="007571E1"/>
    <w:rsid w:val="00757B97"/>
    <w:rsid w:val="007604B2"/>
    <w:rsid w:val="00760699"/>
    <w:rsid w:val="00760860"/>
    <w:rsid w:val="00761BF9"/>
    <w:rsid w:val="007634FC"/>
    <w:rsid w:val="00763AA7"/>
    <w:rsid w:val="00763CE3"/>
    <w:rsid w:val="00763F83"/>
    <w:rsid w:val="00764BC5"/>
    <w:rsid w:val="00765281"/>
    <w:rsid w:val="007667F3"/>
    <w:rsid w:val="00766AF6"/>
    <w:rsid w:val="00766BAD"/>
    <w:rsid w:val="00766E01"/>
    <w:rsid w:val="00770948"/>
    <w:rsid w:val="00770BB5"/>
    <w:rsid w:val="007729A2"/>
    <w:rsid w:val="00773405"/>
    <w:rsid w:val="0077404A"/>
    <w:rsid w:val="00774902"/>
    <w:rsid w:val="00774A2D"/>
    <w:rsid w:val="007755F2"/>
    <w:rsid w:val="007759C9"/>
    <w:rsid w:val="00776450"/>
    <w:rsid w:val="00776971"/>
    <w:rsid w:val="00776DBB"/>
    <w:rsid w:val="00780A80"/>
    <w:rsid w:val="00781264"/>
    <w:rsid w:val="00781699"/>
    <w:rsid w:val="0078177E"/>
    <w:rsid w:val="0078304C"/>
    <w:rsid w:val="00783097"/>
    <w:rsid w:val="00783243"/>
    <w:rsid w:val="0078335E"/>
    <w:rsid w:val="00783673"/>
    <w:rsid w:val="00785490"/>
    <w:rsid w:val="00786B24"/>
    <w:rsid w:val="00787594"/>
    <w:rsid w:val="007876FE"/>
    <w:rsid w:val="00790005"/>
    <w:rsid w:val="00790011"/>
    <w:rsid w:val="0079081E"/>
    <w:rsid w:val="007925EA"/>
    <w:rsid w:val="00792E8F"/>
    <w:rsid w:val="00793CD8"/>
    <w:rsid w:val="00793FEA"/>
    <w:rsid w:val="007948F4"/>
    <w:rsid w:val="00795C92"/>
    <w:rsid w:val="00796231"/>
    <w:rsid w:val="00797303"/>
    <w:rsid w:val="00797420"/>
    <w:rsid w:val="00797DB8"/>
    <w:rsid w:val="007A07DA"/>
    <w:rsid w:val="007A1CB3"/>
    <w:rsid w:val="007A1DAB"/>
    <w:rsid w:val="007A2D82"/>
    <w:rsid w:val="007A306F"/>
    <w:rsid w:val="007A4317"/>
    <w:rsid w:val="007A43A6"/>
    <w:rsid w:val="007A52E4"/>
    <w:rsid w:val="007A542B"/>
    <w:rsid w:val="007A58A6"/>
    <w:rsid w:val="007A5DB5"/>
    <w:rsid w:val="007A6364"/>
    <w:rsid w:val="007A64DC"/>
    <w:rsid w:val="007A7D39"/>
    <w:rsid w:val="007B03FB"/>
    <w:rsid w:val="007B0BA3"/>
    <w:rsid w:val="007B12A5"/>
    <w:rsid w:val="007B15E9"/>
    <w:rsid w:val="007B18D8"/>
    <w:rsid w:val="007B21F2"/>
    <w:rsid w:val="007B36A4"/>
    <w:rsid w:val="007B3D2D"/>
    <w:rsid w:val="007B4AD4"/>
    <w:rsid w:val="007B4AF9"/>
    <w:rsid w:val="007B4D83"/>
    <w:rsid w:val="007B50AE"/>
    <w:rsid w:val="007B51DF"/>
    <w:rsid w:val="007B5F6D"/>
    <w:rsid w:val="007B7A90"/>
    <w:rsid w:val="007C05DD"/>
    <w:rsid w:val="007C29A1"/>
    <w:rsid w:val="007C3D18"/>
    <w:rsid w:val="007C4E9D"/>
    <w:rsid w:val="007C60BF"/>
    <w:rsid w:val="007C68E7"/>
    <w:rsid w:val="007C6A07"/>
    <w:rsid w:val="007C6C4C"/>
    <w:rsid w:val="007C75A1"/>
    <w:rsid w:val="007C7738"/>
    <w:rsid w:val="007C77A5"/>
    <w:rsid w:val="007C78BC"/>
    <w:rsid w:val="007D04E5"/>
    <w:rsid w:val="007D16FF"/>
    <w:rsid w:val="007D1D83"/>
    <w:rsid w:val="007D2417"/>
    <w:rsid w:val="007D2CFB"/>
    <w:rsid w:val="007D46AA"/>
    <w:rsid w:val="007D5901"/>
    <w:rsid w:val="007D7526"/>
    <w:rsid w:val="007E09C3"/>
    <w:rsid w:val="007E3701"/>
    <w:rsid w:val="007E4610"/>
    <w:rsid w:val="007E4715"/>
    <w:rsid w:val="007E505B"/>
    <w:rsid w:val="007E7091"/>
    <w:rsid w:val="007E768F"/>
    <w:rsid w:val="007F0CE7"/>
    <w:rsid w:val="007F0D61"/>
    <w:rsid w:val="007F114E"/>
    <w:rsid w:val="007F1CE3"/>
    <w:rsid w:val="007F4BEE"/>
    <w:rsid w:val="007F4FFB"/>
    <w:rsid w:val="007F5277"/>
    <w:rsid w:val="007F6321"/>
    <w:rsid w:val="007F685A"/>
    <w:rsid w:val="007F6F5F"/>
    <w:rsid w:val="007F70DA"/>
    <w:rsid w:val="007F7923"/>
    <w:rsid w:val="00803C84"/>
    <w:rsid w:val="00803FAE"/>
    <w:rsid w:val="00805A51"/>
    <w:rsid w:val="00805D72"/>
    <w:rsid w:val="0080605F"/>
    <w:rsid w:val="00807786"/>
    <w:rsid w:val="00810F05"/>
    <w:rsid w:val="0081106A"/>
    <w:rsid w:val="00811A49"/>
    <w:rsid w:val="00811FCB"/>
    <w:rsid w:val="00812FE2"/>
    <w:rsid w:val="008133CA"/>
    <w:rsid w:val="008140FA"/>
    <w:rsid w:val="00814AB6"/>
    <w:rsid w:val="0081548B"/>
    <w:rsid w:val="00815708"/>
    <w:rsid w:val="008158D6"/>
    <w:rsid w:val="00815F6A"/>
    <w:rsid w:val="008163D1"/>
    <w:rsid w:val="0081667A"/>
    <w:rsid w:val="00816BC3"/>
    <w:rsid w:val="008170F2"/>
    <w:rsid w:val="00817196"/>
    <w:rsid w:val="00817544"/>
    <w:rsid w:val="00822E38"/>
    <w:rsid w:val="008235DB"/>
    <w:rsid w:val="008242AF"/>
    <w:rsid w:val="00824A48"/>
    <w:rsid w:val="00824AB4"/>
    <w:rsid w:val="008259CC"/>
    <w:rsid w:val="00825C42"/>
    <w:rsid w:val="00825D25"/>
    <w:rsid w:val="00827B71"/>
    <w:rsid w:val="00827D6F"/>
    <w:rsid w:val="00830514"/>
    <w:rsid w:val="008319AD"/>
    <w:rsid w:val="0083306F"/>
    <w:rsid w:val="00833B16"/>
    <w:rsid w:val="00833DD5"/>
    <w:rsid w:val="0083452C"/>
    <w:rsid w:val="00835A31"/>
    <w:rsid w:val="008361E5"/>
    <w:rsid w:val="00836D13"/>
    <w:rsid w:val="008376AC"/>
    <w:rsid w:val="00837AE9"/>
    <w:rsid w:val="00837E4A"/>
    <w:rsid w:val="00837FC8"/>
    <w:rsid w:val="00840159"/>
    <w:rsid w:val="008413E7"/>
    <w:rsid w:val="00841D54"/>
    <w:rsid w:val="0084205B"/>
    <w:rsid w:val="0084362E"/>
    <w:rsid w:val="008444E8"/>
    <w:rsid w:val="00844E80"/>
    <w:rsid w:val="0084516C"/>
    <w:rsid w:val="0084572B"/>
    <w:rsid w:val="0084629B"/>
    <w:rsid w:val="00846525"/>
    <w:rsid w:val="008467E8"/>
    <w:rsid w:val="00846A9C"/>
    <w:rsid w:val="00846F6F"/>
    <w:rsid w:val="00846FE7"/>
    <w:rsid w:val="00851C36"/>
    <w:rsid w:val="00851E97"/>
    <w:rsid w:val="00852238"/>
    <w:rsid w:val="008534C4"/>
    <w:rsid w:val="00854074"/>
    <w:rsid w:val="00854D82"/>
    <w:rsid w:val="0085588E"/>
    <w:rsid w:val="00855F05"/>
    <w:rsid w:val="00856911"/>
    <w:rsid w:val="00860DCB"/>
    <w:rsid w:val="008618FD"/>
    <w:rsid w:val="008636F9"/>
    <w:rsid w:val="00863DD6"/>
    <w:rsid w:val="008644E7"/>
    <w:rsid w:val="0086636E"/>
    <w:rsid w:val="0086661E"/>
    <w:rsid w:val="008677FD"/>
    <w:rsid w:val="0086795D"/>
    <w:rsid w:val="008706D4"/>
    <w:rsid w:val="00870F8A"/>
    <w:rsid w:val="008719A4"/>
    <w:rsid w:val="00871D23"/>
    <w:rsid w:val="00872070"/>
    <w:rsid w:val="00872BF6"/>
    <w:rsid w:val="00872FD9"/>
    <w:rsid w:val="00874312"/>
    <w:rsid w:val="0087437C"/>
    <w:rsid w:val="00875AA5"/>
    <w:rsid w:val="00875CD7"/>
    <w:rsid w:val="008761DA"/>
    <w:rsid w:val="00876A4C"/>
    <w:rsid w:val="00876B4D"/>
    <w:rsid w:val="00877A84"/>
    <w:rsid w:val="00877BEE"/>
    <w:rsid w:val="00877D11"/>
    <w:rsid w:val="00877F18"/>
    <w:rsid w:val="00880174"/>
    <w:rsid w:val="008806A7"/>
    <w:rsid w:val="00880C7C"/>
    <w:rsid w:val="0088118E"/>
    <w:rsid w:val="00881E0D"/>
    <w:rsid w:val="00882C15"/>
    <w:rsid w:val="00883F04"/>
    <w:rsid w:val="00885A69"/>
    <w:rsid w:val="008862A4"/>
    <w:rsid w:val="008869EF"/>
    <w:rsid w:val="00887410"/>
    <w:rsid w:val="0088745A"/>
    <w:rsid w:val="008875F1"/>
    <w:rsid w:val="00887922"/>
    <w:rsid w:val="00887CD1"/>
    <w:rsid w:val="008900C0"/>
    <w:rsid w:val="008906ED"/>
    <w:rsid w:val="0089070C"/>
    <w:rsid w:val="008909E6"/>
    <w:rsid w:val="008918D6"/>
    <w:rsid w:val="008924AF"/>
    <w:rsid w:val="008936FD"/>
    <w:rsid w:val="008941E3"/>
    <w:rsid w:val="00894271"/>
    <w:rsid w:val="00894A88"/>
    <w:rsid w:val="00895386"/>
    <w:rsid w:val="008958CA"/>
    <w:rsid w:val="008A1475"/>
    <w:rsid w:val="008A21FF"/>
    <w:rsid w:val="008A2CE2"/>
    <w:rsid w:val="008A30AC"/>
    <w:rsid w:val="008A3470"/>
    <w:rsid w:val="008A446C"/>
    <w:rsid w:val="008A44B8"/>
    <w:rsid w:val="008A4AD4"/>
    <w:rsid w:val="008A4E9A"/>
    <w:rsid w:val="008A5132"/>
    <w:rsid w:val="008A51A8"/>
    <w:rsid w:val="008A54C7"/>
    <w:rsid w:val="008A591A"/>
    <w:rsid w:val="008A69E7"/>
    <w:rsid w:val="008A6DA3"/>
    <w:rsid w:val="008A77D8"/>
    <w:rsid w:val="008B0483"/>
    <w:rsid w:val="008B074B"/>
    <w:rsid w:val="008B0F06"/>
    <w:rsid w:val="008B120C"/>
    <w:rsid w:val="008B12C2"/>
    <w:rsid w:val="008B1D49"/>
    <w:rsid w:val="008B20BE"/>
    <w:rsid w:val="008B24F4"/>
    <w:rsid w:val="008B4E21"/>
    <w:rsid w:val="008B502C"/>
    <w:rsid w:val="008B51A0"/>
    <w:rsid w:val="008B592A"/>
    <w:rsid w:val="008B6614"/>
    <w:rsid w:val="008B6E6F"/>
    <w:rsid w:val="008B72E0"/>
    <w:rsid w:val="008B7737"/>
    <w:rsid w:val="008B7B5C"/>
    <w:rsid w:val="008B7F5F"/>
    <w:rsid w:val="008C0C99"/>
    <w:rsid w:val="008C19E1"/>
    <w:rsid w:val="008C1F65"/>
    <w:rsid w:val="008C2017"/>
    <w:rsid w:val="008C267B"/>
    <w:rsid w:val="008C2847"/>
    <w:rsid w:val="008C28CD"/>
    <w:rsid w:val="008C2989"/>
    <w:rsid w:val="008C3BA9"/>
    <w:rsid w:val="008C4958"/>
    <w:rsid w:val="008C4BAA"/>
    <w:rsid w:val="008C4E24"/>
    <w:rsid w:val="008C500F"/>
    <w:rsid w:val="008C6AE8"/>
    <w:rsid w:val="008C70E9"/>
    <w:rsid w:val="008C7573"/>
    <w:rsid w:val="008C7B1B"/>
    <w:rsid w:val="008C7FE3"/>
    <w:rsid w:val="008D00A5"/>
    <w:rsid w:val="008D0B18"/>
    <w:rsid w:val="008D10DF"/>
    <w:rsid w:val="008D126B"/>
    <w:rsid w:val="008D34F1"/>
    <w:rsid w:val="008D39D8"/>
    <w:rsid w:val="008D3EC4"/>
    <w:rsid w:val="008D5D65"/>
    <w:rsid w:val="008D62DC"/>
    <w:rsid w:val="008D6D1A"/>
    <w:rsid w:val="008D7724"/>
    <w:rsid w:val="008E065E"/>
    <w:rsid w:val="008E0927"/>
    <w:rsid w:val="008E1909"/>
    <w:rsid w:val="008E3DA0"/>
    <w:rsid w:val="008E4104"/>
    <w:rsid w:val="008E4946"/>
    <w:rsid w:val="008E4DB8"/>
    <w:rsid w:val="008E5065"/>
    <w:rsid w:val="008E5AB8"/>
    <w:rsid w:val="008E61AE"/>
    <w:rsid w:val="008F0265"/>
    <w:rsid w:val="008F113F"/>
    <w:rsid w:val="008F1464"/>
    <w:rsid w:val="008F1C4E"/>
    <w:rsid w:val="008F1D13"/>
    <w:rsid w:val="008F1EAB"/>
    <w:rsid w:val="008F2959"/>
    <w:rsid w:val="008F33DC"/>
    <w:rsid w:val="008F39EC"/>
    <w:rsid w:val="008F44E1"/>
    <w:rsid w:val="008F477F"/>
    <w:rsid w:val="008F4BF5"/>
    <w:rsid w:val="008F5230"/>
    <w:rsid w:val="008F5516"/>
    <w:rsid w:val="008F55B4"/>
    <w:rsid w:val="008F71B5"/>
    <w:rsid w:val="00900DA5"/>
    <w:rsid w:val="00900F9C"/>
    <w:rsid w:val="00902350"/>
    <w:rsid w:val="00902688"/>
    <w:rsid w:val="00902CDB"/>
    <w:rsid w:val="0090336B"/>
    <w:rsid w:val="00903D8D"/>
    <w:rsid w:val="00903DF1"/>
    <w:rsid w:val="009053AA"/>
    <w:rsid w:val="009056FB"/>
    <w:rsid w:val="00906130"/>
    <w:rsid w:val="009066C9"/>
    <w:rsid w:val="00906939"/>
    <w:rsid w:val="00906F61"/>
    <w:rsid w:val="00910B7D"/>
    <w:rsid w:val="00910D77"/>
    <w:rsid w:val="0091117E"/>
    <w:rsid w:val="0091131A"/>
    <w:rsid w:val="00911DFB"/>
    <w:rsid w:val="009122D6"/>
    <w:rsid w:val="00912F46"/>
    <w:rsid w:val="00913324"/>
    <w:rsid w:val="0091387A"/>
    <w:rsid w:val="009138AF"/>
    <w:rsid w:val="00913908"/>
    <w:rsid w:val="009139D9"/>
    <w:rsid w:val="00914AD8"/>
    <w:rsid w:val="00916031"/>
    <w:rsid w:val="00916079"/>
    <w:rsid w:val="00917CE9"/>
    <w:rsid w:val="00920BF2"/>
    <w:rsid w:val="00922010"/>
    <w:rsid w:val="00922D78"/>
    <w:rsid w:val="0092386C"/>
    <w:rsid w:val="00924984"/>
    <w:rsid w:val="00924B04"/>
    <w:rsid w:val="00924C36"/>
    <w:rsid w:val="00924D56"/>
    <w:rsid w:val="00927F51"/>
    <w:rsid w:val="00931BD9"/>
    <w:rsid w:val="00932030"/>
    <w:rsid w:val="00933E8D"/>
    <w:rsid w:val="00934896"/>
    <w:rsid w:val="009348DE"/>
    <w:rsid w:val="00935A5C"/>
    <w:rsid w:val="009368F3"/>
    <w:rsid w:val="00936A01"/>
    <w:rsid w:val="0093788E"/>
    <w:rsid w:val="00941636"/>
    <w:rsid w:val="00942971"/>
    <w:rsid w:val="00943742"/>
    <w:rsid w:val="00943A07"/>
    <w:rsid w:val="00944E4A"/>
    <w:rsid w:val="009453B3"/>
    <w:rsid w:val="009454E0"/>
    <w:rsid w:val="00945893"/>
    <w:rsid w:val="00945C05"/>
    <w:rsid w:val="00945D3B"/>
    <w:rsid w:val="009464A9"/>
    <w:rsid w:val="00946945"/>
    <w:rsid w:val="00947713"/>
    <w:rsid w:val="00950266"/>
    <w:rsid w:val="00950A7C"/>
    <w:rsid w:val="00950DE7"/>
    <w:rsid w:val="00952812"/>
    <w:rsid w:val="009533A6"/>
    <w:rsid w:val="00953920"/>
    <w:rsid w:val="00953D47"/>
    <w:rsid w:val="00954523"/>
    <w:rsid w:val="009561FB"/>
    <w:rsid w:val="0095681E"/>
    <w:rsid w:val="009572D4"/>
    <w:rsid w:val="00957AB8"/>
    <w:rsid w:val="00960C6A"/>
    <w:rsid w:val="00961921"/>
    <w:rsid w:val="00962A66"/>
    <w:rsid w:val="0096391D"/>
    <w:rsid w:val="00963B32"/>
    <w:rsid w:val="0096430A"/>
    <w:rsid w:val="00964F26"/>
    <w:rsid w:val="0096554B"/>
    <w:rsid w:val="00965597"/>
    <w:rsid w:val="0096584A"/>
    <w:rsid w:val="00965903"/>
    <w:rsid w:val="00966BF1"/>
    <w:rsid w:val="00967590"/>
    <w:rsid w:val="00970A40"/>
    <w:rsid w:val="00970F5C"/>
    <w:rsid w:val="00971F08"/>
    <w:rsid w:val="0097256E"/>
    <w:rsid w:val="00972E26"/>
    <w:rsid w:val="00974C9F"/>
    <w:rsid w:val="00974D06"/>
    <w:rsid w:val="0097570F"/>
    <w:rsid w:val="0097591A"/>
    <w:rsid w:val="00975CCA"/>
    <w:rsid w:val="0097603D"/>
    <w:rsid w:val="009767FB"/>
    <w:rsid w:val="00976949"/>
    <w:rsid w:val="00976F18"/>
    <w:rsid w:val="00980477"/>
    <w:rsid w:val="00980885"/>
    <w:rsid w:val="00982890"/>
    <w:rsid w:val="0098317B"/>
    <w:rsid w:val="009849BF"/>
    <w:rsid w:val="00985253"/>
    <w:rsid w:val="009853B3"/>
    <w:rsid w:val="00986D3D"/>
    <w:rsid w:val="0099009E"/>
    <w:rsid w:val="00990630"/>
    <w:rsid w:val="00991761"/>
    <w:rsid w:val="00994DCA"/>
    <w:rsid w:val="009960EC"/>
    <w:rsid w:val="00996251"/>
    <w:rsid w:val="00996E54"/>
    <w:rsid w:val="009970DD"/>
    <w:rsid w:val="0099798D"/>
    <w:rsid w:val="009A0FBA"/>
    <w:rsid w:val="009A1601"/>
    <w:rsid w:val="009A3BB6"/>
    <w:rsid w:val="009A451E"/>
    <w:rsid w:val="009A462D"/>
    <w:rsid w:val="009A55C7"/>
    <w:rsid w:val="009A5CBA"/>
    <w:rsid w:val="009B02BD"/>
    <w:rsid w:val="009B1F30"/>
    <w:rsid w:val="009B2B20"/>
    <w:rsid w:val="009B3AC2"/>
    <w:rsid w:val="009B47D0"/>
    <w:rsid w:val="009B4CF9"/>
    <w:rsid w:val="009B4DF4"/>
    <w:rsid w:val="009B4E85"/>
    <w:rsid w:val="009B564E"/>
    <w:rsid w:val="009B7E87"/>
    <w:rsid w:val="009C0169"/>
    <w:rsid w:val="009C1D24"/>
    <w:rsid w:val="009C2251"/>
    <w:rsid w:val="009C312A"/>
    <w:rsid w:val="009C327C"/>
    <w:rsid w:val="009C403E"/>
    <w:rsid w:val="009C526E"/>
    <w:rsid w:val="009C59F5"/>
    <w:rsid w:val="009C5ACD"/>
    <w:rsid w:val="009C6A12"/>
    <w:rsid w:val="009C6E7C"/>
    <w:rsid w:val="009D15F1"/>
    <w:rsid w:val="009D257E"/>
    <w:rsid w:val="009D25C6"/>
    <w:rsid w:val="009D434C"/>
    <w:rsid w:val="009D4FF0"/>
    <w:rsid w:val="009D5F57"/>
    <w:rsid w:val="009D703C"/>
    <w:rsid w:val="009D718F"/>
    <w:rsid w:val="009E068F"/>
    <w:rsid w:val="009E0F60"/>
    <w:rsid w:val="009E14E0"/>
    <w:rsid w:val="009E177C"/>
    <w:rsid w:val="009E1D07"/>
    <w:rsid w:val="009E1DF6"/>
    <w:rsid w:val="009E2CB6"/>
    <w:rsid w:val="009E2E66"/>
    <w:rsid w:val="009E35DB"/>
    <w:rsid w:val="009E394A"/>
    <w:rsid w:val="009E47A3"/>
    <w:rsid w:val="009E5F3B"/>
    <w:rsid w:val="009E69F0"/>
    <w:rsid w:val="009E7DD1"/>
    <w:rsid w:val="009F08F3"/>
    <w:rsid w:val="009F344F"/>
    <w:rsid w:val="009F3F96"/>
    <w:rsid w:val="009F442B"/>
    <w:rsid w:val="009F56D1"/>
    <w:rsid w:val="009F5F7C"/>
    <w:rsid w:val="00A00B1D"/>
    <w:rsid w:val="00A01D52"/>
    <w:rsid w:val="00A01F44"/>
    <w:rsid w:val="00A02497"/>
    <w:rsid w:val="00A030F5"/>
    <w:rsid w:val="00A031D8"/>
    <w:rsid w:val="00A03636"/>
    <w:rsid w:val="00A048A8"/>
    <w:rsid w:val="00A04F49"/>
    <w:rsid w:val="00A06957"/>
    <w:rsid w:val="00A06A4E"/>
    <w:rsid w:val="00A07921"/>
    <w:rsid w:val="00A07DDD"/>
    <w:rsid w:val="00A100F9"/>
    <w:rsid w:val="00A13E54"/>
    <w:rsid w:val="00A14CB7"/>
    <w:rsid w:val="00A154F0"/>
    <w:rsid w:val="00A17F63"/>
    <w:rsid w:val="00A213F0"/>
    <w:rsid w:val="00A2193B"/>
    <w:rsid w:val="00A22B88"/>
    <w:rsid w:val="00A22E0C"/>
    <w:rsid w:val="00A2351A"/>
    <w:rsid w:val="00A235DC"/>
    <w:rsid w:val="00A2478C"/>
    <w:rsid w:val="00A2601F"/>
    <w:rsid w:val="00A264A9"/>
    <w:rsid w:val="00A269CF"/>
    <w:rsid w:val="00A26DCF"/>
    <w:rsid w:val="00A27785"/>
    <w:rsid w:val="00A30187"/>
    <w:rsid w:val="00A3392E"/>
    <w:rsid w:val="00A3448A"/>
    <w:rsid w:val="00A35338"/>
    <w:rsid w:val="00A36297"/>
    <w:rsid w:val="00A36478"/>
    <w:rsid w:val="00A3693D"/>
    <w:rsid w:val="00A37061"/>
    <w:rsid w:val="00A370E0"/>
    <w:rsid w:val="00A40CF4"/>
    <w:rsid w:val="00A41073"/>
    <w:rsid w:val="00A41611"/>
    <w:rsid w:val="00A41618"/>
    <w:rsid w:val="00A41E2B"/>
    <w:rsid w:val="00A42167"/>
    <w:rsid w:val="00A441CF"/>
    <w:rsid w:val="00A44D25"/>
    <w:rsid w:val="00A44F5F"/>
    <w:rsid w:val="00A45B74"/>
    <w:rsid w:val="00A45D73"/>
    <w:rsid w:val="00A51DCC"/>
    <w:rsid w:val="00A52353"/>
    <w:rsid w:val="00A526B5"/>
    <w:rsid w:val="00A52E1D"/>
    <w:rsid w:val="00A54D42"/>
    <w:rsid w:val="00A557EE"/>
    <w:rsid w:val="00A56DCF"/>
    <w:rsid w:val="00A56F1F"/>
    <w:rsid w:val="00A5756D"/>
    <w:rsid w:val="00A575AC"/>
    <w:rsid w:val="00A5783F"/>
    <w:rsid w:val="00A57D9F"/>
    <w:rsid w:val="00A6131E"/>
    <w:rsid w:val="00A61499"/>
    <w:rsid w:val="00A617EB"/>
    <w:rsid w:val="00A62A77"/>
    <w:rsid w:val="00A63483"/>
    <w:rsid w:val="00A657D7"/>
    <w:rsid w:val="00A657F7"/>
    <w:rsid w:val="00A65F6B"/>
    <w:rsid w:val="00A660AC"/>
    <w:rsid w:val="00A6749D"/>
    <w:rsid w:val="00A67E6C"/>
    <w:rsid w:val="00A67F86"/>
    <w:rsid w:val="00A7002E"/>
    <w:rsid w:val="00A71B99"/>
    <w:rsid w:val="00A73041"/>
    <w:rsid w:val="00A731DD"/>
    <w:rsid w:val="00A735B1"/>
    <w:rsid w:val="00A739D0"/>
    <w:rsid w:val="00A74005"/>
    <w:rsid w:val="00A74E95"/>
    <w:rsid w:val="00A75DE4"/>
    <w:rsid w:val="00A75E2A"/>
    <w:rsid w:val="00A761D4"/>
    <w:rsid w:val="00A76920"/>
    <w:rsid w:val="00A77EC4"/>
    <w:rsid w:val="00A80488"/>
    <w:rsid w:val="00A80622"/>
    <w:rsid w:val="00A837B4"/>
    <w:rsid w:val="00A853ED"/>
    <w:rsid w:val="00A85561"/>
    <w:rsid w:val="00A86872"/>
    <w:rsid w:val="00A878E6"/>
    <w:rsid w:val="00A87C52"/>
    <w:rsid w:val="00A87CC0"/>
    <w:rsid w:val="00A90F29"/>
    <w:rsid w:val="00A913BA"/>
    <w:rsid w:val="00A91487"/>
    <w:rsid w:val="00A927B8"/>
    <w:rsid w:val="00A92879"/>
    <w:rsid w:val="00A93067"/>
    <w:rsid w:val="00A93213"/>
    <w:rsid w:val="00A9442A"/>
    <w:rsid w:val="00A94F87"/>
    <w:rsid w:val="00A96206"/>
    <w:rsid w:val="00A9645B"/>
    <w:rsid w:val="00A96721"/>
    <w:rsid w:val="00A971FB"/>
    <w:rsid w:val="00A9769D"/>
    <w:rsid w:val="00A97E4D"/>
    <w:rsid w:val="00AA016F"/>
    <w:rsid w:val="00AA10B0"/>
    <w:rsid w:val="00AA1133"/>
    <w:rsid w:val="00AA1353"/>
    <w:rsid w:val="00AA1ED6"/>
    <w:rsid w:val="00AA21A9"/>
    <w:rsid w:val="00AA5135"/>
    <w:rsid w:val="00AA51D6"/>
    <w:rsid w:val="00AA5F5B"/>
    <w:rsid w:val="00AA69A7"/>
    <w:rsid w:val="00AA7DB4"/>
    <w:rsid w:val="00AA7E1A"/>
    <w:rsid w:val="00AB0979"/>
    <w:rsid w:val="00AB0BC8"/>
    <w:rsid w:val="00AB11CA"/>
    <w:rsid w:val="00AB14D9"/>
    <w:rsid w:val="00AB2106"/>
    <w:rsid w:val="00AB21A1"/>
    <w:rsid w:val="00AB32FF"/>
    <w:rsid w:val="00AB3DC2"/>
    <w:rsid w:val="00AB4AB8"/>
    <w:rsid w:val="00AB655E"/>
    <w:rsid w:val="00AB66B5"/>
    <w:rsid w:val="00AB78B7"/>
    <w:rsid w:val="00AC007F"/>
    <w:rsid w:val="00AC0C3F"/>
    <w:rsid w:val="00AC0F7F"/>
    <w:rsid w:val="00AC2EBE"/>
    <w:rsid w:val="00AC2ECD"/>
    <w:rsid w:val="00AC3119"/>
    <w:rsid w:val="00AC48EA"/>
    <w:rsid w:val="00AC49FB"/>
    <w:rsid w:val="00AC5130"/>
    <w:rsid w:val="00AC5A10"/>
    <w:rsid w:val="00AC5AD3"/>
    <w:rsid w:val="00AC5D37"/>
    <w:rsid w:val="00AC65FE"/>
    <w:rsid w:val="00AC79AA"/>
    <w:rsid w:val="00AC7E8D"/>
    <w:rsid w:val="00AD0045"/>
    <w:rsid w:val="00AD0AA3"/>
    <w:rsid w:val="00AD1B24"/>
    <w:rsid w:val="00AD2407"/>
    <w:rsid w:val="00AD2432"/>
    <w:rsid w:val="00AD2ED0"/>
    <w:rsid w:val="00AD2FB8"/>
    <w:rsid w:val="00AD3341"/>
    <w:rsid w:val="00AD3F94"/>
    <w:rsid w:val="00AD4019"/>
    <w:rsid w:val="00AD4A5A"/>
    <w:rsid w:val="00AD522B"/>
    <w:rsid w:val="00AD6860"/>
    <w:rsid w:val="00AD7A54"/>
    <w:rsid w:val="00AE06CA"/>
    <w:rsid w:val="00AE1172"/>
    <w:rsid w:val="00AE27AC"/>
    <w:rsid w:val="00AE2A94"/>
    <w:rsid w:val="00AE385A"/>
    <w:rsid w:val="00AE38C6"/>
    <w:rsid w:val="00AE40E0"/>
    <w:rsid w:val="00AE4DB9"/>
    <w:rsid w:val="00AE4DBA"/>
    <w:rsid w:val="00AE4F07"/>
    <w:rsid w:val="00AE5C33"/>
    <w:rsid w:val="00AE5D8E"/>
    <w:rsid w:val="00AE74FF"/>
    <w:rsid w:val="00AE7BEF"/>
    <w:rsid w:val="00AF0F56"/>
    <w:rsid w:val="00AF1C5D"/>
    <w:rsid w:val="00AF2BE2"/>
    <w:rsid w:val="00AF42D7"/>
    <w:rsid w:val="00AF4329"/>
    <w:rsid w:val="00AF6478"/>
    <w:rsid w:val="00AF687F"/>
    <w:rsid w:val="00AF7539"/>
    <w:rsid w:val="00B006FE"/>
    <w:rsid w:val="00B007CB"/>
    <w:rsid w:val="00B01FA6"/>
    <w:rsid w:val="00B02AA9"/>
    <w:rsid w:val="00B02FA3"/>
    <w:rsid w:val="00B03422"/>
    <w:rsid w:val="00B04459"/>
    <w:rsid w:val="00B04BC9"/>
    <w:rsid w:val="00B04D6E"/>
    <w:rsid w:val="00B05084"/>
    <w:rsid w:val="00B05B95"/>
    <w:rsid w:val="00B061A7"/>
    <w:rsid w:val="00B06DA7"/>
    <w:rsid w:val="00B10407"/>
    <w:rsid w:val="00B10A36"/>
    <w:rsid w:val="00B11249"/>
    <w:rsid w:val="00B12597"/>
    <w:rsid w:val="00B1298A"/>
    <w:rsid w:val="00B130A6"/>
    <w:rsid w:val="00B13293"/>
    <w:rsid w:val="00B157F9"/>
    <w:rsid w:val="00B169B2"/>
    <w:rsid w:val="00B17975"/>
    <w:rsid w:val="00B200F8"/>
    <w:rsid w:val="00B20256"/>
    <w:rsid w:val="00B20D09"/>
    <w:rsid w:val="00B223EC"/>
    <w:rsid w:val="00B239D7"/>
    <w:rsid w:val="00B24E7D"/>
    <w:rsid w:val="00B25D41"/>
    <w:rsid w:val="00B2616D"/>
    <w:rsid w:val="00B2633D"/>
    <w:rsid w:val="00B2763F"/>
    <w:rsid w:val="00B276AD"/>
    <w:rsid w:val="00B27AAC"/>
    <w:rsid w:val="00B27FBF"/>
    <w:rsid w:val="00B30929"/>
    <w:rsid w:val="00B316E1"/>
    <w:rsid w:val="00B3248D"/>
    <w:rsid w:val="00B327AE"/>
    <w:rsid w:val="00B32948"/>
    <w:rsid w:val="00B3353C"/>
    <w:rsid w:val="00B33D2D"/>
    <w:rsid w:val="00B3504E"/>
    <w:rsid w:val="00B372AA"/>
    <w:rsid w:val="00B37389"/>
    <w:rsid w:val="00B373E9"/>
    <w:rsid w:val="00B40445"/>
    <w:rsid w:val="00B409E0"/>
    <w:rsid w:val="00B41888"/>
    <w:rsid w:val="00B41E40"/>
    <w:rsid w:val="00B42392"/>
    <w:rsid w:val="00B43161"/>
    <w:rsid w:val="00B4490D"/>
    <w:rsid w:val="00B45A52"/>
    <w:rsid w:val="00B46175"/>
    <w:rsid w:val="00B47574"/>
    <w:rsid w:val="00B50ABF"/>
    <w:rsid w:val="00B510B7"/>
    <w:rsid w:val="00B51319"/>
    <w:rsid w:val="00B51AAD"/>
    <w:rsid w:val="00B52479"/>
    <w:rsid w:val="00B52EEB"/>
    <w:rsid w:val="00B53DD0"/>
    <w:rsid w:val="00B53FB7"/>
    <w:rsid w:val="00B548B7"/>
    <w:rsid w:val="00B570C5"/>
    <w:rsid w:val="00B57971"/>
    <w:rsid w:val="00B603FC"/>
    <w:rsid w:val="00B60621"/>
    <w:rsid w:val="00B60F9C"/>
    <w:rsid w:val="00B61E69"/>
    <w:rsid w:val="00B644F7"/>
    <w:rsid w:val="00B651EE"/>
    <w:rsid w:val="00B65EA6"/>
    <w:rsid w:val="00B66229"/>
    <w:rsid w:val="00B664C7"/>
    <w:rsid w:val="00B665C6"/>
    <w:rsid w:val="00B67C33"/>
    <w:rsid w:val="00B703A6"/>
    <w:rsid w:val="00B70411"/>
    <w:rsid w:val="00B72933"/>
    <w:rsid w:val="00B73230"/>
    <w:rsid w:val="00B739F6"/>
    <w:rsid w:val="00B747F8"/>
    <w:rsid w:val="00B748B1"/>
    <w:rsid w:val="00B760CA"/>
    <w:rsid w:val="00B771FC"/>
    <w:rsid w:val="00B8009A"/>
    <w:rsid w:val="00B81A6C"/>
    <w:rsid w:val="00B82467"/>
    <w:rsid w:val="00B852F5"/>
    <w:rsid w:val="00B85DE5"/>
    <w:rsid w:val="00B8635B"/>
    <w:rsid w:val="00B8770A"/>
    <w:rsid w:val="00B90F73"/>
    <w:rsid w:val="00B92CC8"/>
    <w:rsid w:val="00B93B59"/>
    <w:rsid w:val="00B9406A"/>
    <w:rsid w:val="00B94E5C"/>
    <w:rsid w:val="00B97402"/>
    <w:rsid w:val="00B97591"/>
    <w:rsid w:val="00B97899"/>
    <w:rsid w:val="00BA07BF"/>
    <w:rsid w:val="00BA08A6"/>
    <w:rsid w:val="00BA18E1"/>
    <w:rsid w:val="00BA2280"/>
    <w:rsid w:val="00BA2A08"/>
    <w:rsid w:val="00BA30E4"/>
    <w:rsid w:val="00BA35C2"/>
    <w:rsid w:val="00BA367A"/>
    <w:rsid w:val="00BA463F"/>
    <w:rsid w:val="00BA508B"/>
    <w:rsid w:val="00BA56D2"/>
    <w:rsid w:val="00BA5823"/>
    <w:rsid w:val="00BA5D0F"/>
    <w:rsid w:val="00BA69A8"/>
    <w:rsid w:val="00BA76E0"/>
    <w:rsid w:val="00BA7AF7"/>
    <w:rsid w:val="00BA7FBF"/>
    <w:rsid w:val="00BB039A"/>
    <w:rsid w:val="00BB04E1"/>
    <w:rsid w:val="00BB1F67"/>
    <w:rsid w:val="00BB2A25"/>
    <w:rsid w:val="00BB2CAE"/>
    <w:rsid w:val="00BB41FA"/>
    <w:rsid w:val="00BB5131"/>
    <w:rsid w:val="00BB51E9"/>
    <w:rsid w:val="00BB5DEB"/>
    <w:rsid w:val="00BB6109"/>
    <w:rsid w:val="00BB6AE7"/>
    <w:rsid w:val="00BB6EEB"/>
    <w:rsid w:val="00BC0FDC"/>
    <w:rsid w:val="00BC1032"/>
    <w:rsid w:val="00BC29BB"/>
    <w:rsid w:val="00BC2E21"/>
    <w:rsid w:val="00BC3053"/>
    <w:rsid w:val="00BC35E7"/>
    <w:rsid w:val="00BC44C6"/>
    <w:rsid w:val="00BC4D2E"/>
    <w:rsid w:val="00BC4EBB"/>
    <w:rsid w:val="00BC5F3A"/>
    <w:rsid w:val="00BC61DF"/>
    <w:rsid w:val="00BC6C63"/>
    <w:rsid w:val="00BC76C2"/>
    <w:rsid w:val="00BD1B67"/>
    <w:rsid w:val="00BD1E54"/>
    <w:rsid w:val="00BD2E04"/>
    <w:rsid w:val="00BD3D64"/>
    <w:rsid w:val="00BD41EC"/>
    <w:rsid w:val="00BD4582"/>
    <w:rsid w:val="00BD48AC"/>
    <w:rsid w:val="00BD4CF5"/>
    <w:rsid w:val="00BD5F1A"/>
    <w:rsid w:val="00BD633A"/>
    <w:rsid w:val="00BE0296"/>
    <w:rsid w:val="00BE030A"/>
    <w:rsid w:val="00BE04C0"/>
    <w:rsid w:val="00BE09E8"/>
    <w:rsid w:val="00BE0DD4"/>
    <w:rsid w:val="00BE1234"/>
    <w:rsid w:val="00BE2410"/>
    <w:rsid w:val="00BE26FE"/>
    <w:rsid w:val="00BE2FA6"/>
    <w:rsid w:val="00BE31B6"/>
    <w:rsid w:val="00BE333F"/>
    <w:rsid w:val="00BE3761"/>
    <w:rsid w:val="00BE38C6"/>
    <w:rsid w:val="00BE48C8"/>
    <w:rsid w:val="00BE59D1"/>
    <w:rsid w:val="00BE5D7F"/>
    <w:rsid w:val="00BE73ED"/>
    <w:rsid w:val="00BE7406"/>
    <w:rsid w:val="00BE7603"/>
    <w:rsid w:val="00BE7DD1"/>
    <w:rsid w:val="00BF06BB"/>
    <w:rsid w:val="00BF0EB0"/>
    <w:rsid w:val="00BF0F21"/>
    <w:rsid w:val="00BF1365"/>
    <w:rsid w:val="00BF15DA"/>
    <w:rsid w:val="00BF3279"/>
    <w:rsid w:val="00BF3342"/>
    <w:rsid w:val="00BF74C7"/>
    <w:rsid w:val="00C00B0F"/>
    <w:rsid w:val="00C0143C"/>
    <w:rsid w:val="00C015F1"/>
    <w:rsid w:val="00C01715"/>
    <w:rsid w:val="00C01F33"/>
    <w:rsid w:val="00C0217E"/>
    <w:rsid w:val="00C02234"/>
    <w:rsid w:val="00C02CC6"/>
    <w:rsid w:val="00C03AA9"/>
    <w:rsid w:val="00C040B2"/>
    <w:rsid w:val="00C040F7"/>
    <w:rsid w:val="00C044AB"/>
    <w:rsid w:val="00C05064"/>
    <w:rsid w:val="00C05706"/>
    <w:rsid w:val="00C0610C"/>
    <w:rsid w:val="00C06249"/>
    <w:rsid w:val="00C06651"/>
    <w:rsid w:val="00C07377"/>
    <w:rsid w:val="00C0743C"/>
    <w:rsid w:val="00C10478"/>
    <w:rsid w:val="00C12107"/>
    <w:rsid w:val="00C1258B"/>
    <w:rsid w:val="00C12E18"/>
    <w:rsid w:val="00C14D13"/>
    <w:rsid w:val="00C14D4B"/>
    <w:rsid w:val="00C152EB"/>
    <w:rsid w:val="00C154BB"/>
    <w:rsid w:val="00C16B9D"/>
    <w:rsid w:val="00C1722C"/>
    <w:rsid w:val="00C204BD"/>
    <w:rsid w:val="00C21D36"/>
    <w:rsid w:val="00C23367"/>
    <w:rsid w:val="00C23BE0"/>
    <w:rsid w:val="00C25A6E"/>
    <w:rsid w:val="00C26773"/>
    <w:rsid w:val="00C26E71"/>
    <w:rsid w:val="00C270D9"/>
    <w:rsid w:val="00C278F1"/>
    <w:rsid w:val="00C279B5"/>
    <w:rsid w:val="00C27C45"/>
    <w:rsid w:val="00C30BDD"/>
    <w:rsid w:val="00C31493"/>
    <w:rsid w:val="00C344E4"/>
    <w:rsid w:val="00C357AC"/>
    <w:rsid w:val="00C3719D"/>
    <w:rsid w:val="00C37523"/>
    <w:rsid w:val="00C37CB2"/>
    <w:rsid w:val="00C40459"/>
    <w:rsid w:val="00C42235"/>
    <w:rsid w:val="00C42ECC"/>
    <w:rsid w:val="00C432CB"/>
    <w:rsid w:val="00C44D69"/>
    <w:rsid w:val="00C453E6"/>
    <w:rsid w:val="00C45C9F"/>
    <w:rsid w:val="00C47025"/>
    <w:rsid w:val="00C473A5"/>
    <w:rsid w:val="00C47750"/>
    <w:rsid w:val="00C47EFC"/>
    <w:rsid w:val="00C5178F"/>
    <w:rsid w:val="00C518C1"/>
    <w:rsid w:val="00C539CD"/>
    <w:rsid w:val="00C54995"/>
    <w:rsid w:val="00C54D41"/>
    <w:rsid w:val="00C5562A"/>
    <w:rsid w:val="00C571C7"/>
    <w:rsid w:val="00C5721D"/>
    <w:rsid w:val="00C57367"/>
    <w:rsid w:val="00C57A05"/>
    <w:rsid w:val="00C60119"/>
    <w:rsid w:val="00C60760"/>
    <w:rsid w:val="00C60783"/>
    <w:rsid w:val="00C609AE"/>
    <w:rsid w:val="00C60A6D"/>
    <w:rsid w:val="00C62F2F"/>
    <w:rsid w:val="00C63EEA"/>
    <w:rsid w:val="00C64506"/>
    <w:rsid w:val="00C64672"/>
    <w:rsid w:val="00C64B52"/>
    <w:rsid w:val="00C657B5"/>
    <w:rsid w:val="00C659EB"/>
    <w:rsid w:val="00C671DE"/>
    <w:rsid w:val="00C701B1"/>
    <w:rsid w:val="00C70697"/>
    <w:rsid w:val="00C72093"/>
    <w:rsid w:val="00C7249B"/>
    <w:rsid w:val="00C72EF4"/>
    <w:rsid w:val="00C7448C"/>
    <w:rsid w:val="00C744FE"/>
    <w:rsid w:val="00C758E5"/>
    <w:rsid w:val="00C75D2F"/>
    <w:rsid w:val="00C75E69"/>
    <w:rsid w:val="00C767BE"/>
    <w:rsid w:val="00C76A83"/>
    <w:rsid w:val="00C76E3C"/>
    <w:rsid w:val="00C810AC"/>
    <w:rsid w:val="00C81568"/>
    <w:rsid w:val="00C830C8"/>
    <w:rsid w:val="00C831D2"/>
    <w:rsid w:val="00C837DE"/>
    <w:rsid w:val="00C838DA"/>
    <w:rsid w:val="00C851A3"/>
    <w:rsid w:val="00C85AA5"/>
    <w:rsid w:val="00C9027A"/>
    <w:rsid w:val="00C9068E"/>
    <w:rsid w:val="00C92031"/>
    <w:rsid w:val="00C921C9"/>
    <w:rsid w:val="00C93814"/>
    <w:rsid w:val="00C93C4B"/>
    <w:rsid w:val="00C940E5"/>
    <w:rsid w:val="00C94315"/>
    <w:rsid w:val="00C944AB"/>
    <w:rsid w:val="00C94970"/>
    <w:rsid w:val="00C94C45"/>
    <w:rsid w:val="00C9581F"/>
    <w:rsid w:val="00C95B2A"/>
    <w:rsid w:val="00C95B40"/>
    <w:rsid w:val="00C966DF"/>
    <w:rsid w:val="00C96BC8"/>
    <w:rsid w:val="00C97EA5"/>
    <w:rsid w:val="00CA0288"/>
    <w:rsid w:val="00CA1805"/>
    <w:rsid w:val="00CA189D"/>
    <w:rsid w:val="00CA1ED8"/>
    <w:rsid w:val="00CA3224"/>
    <w:rsid w:val="00CA3359"/>
    <w:rsid w:val="00CA3712"/>
    <w:rsid w:val="00CA4612"/>
    <w:rsid w:val="00CA4916"/>
    <w:rsid w:val="00CA515F"/>
    <w:rsid w:val="00CA5E27"/>
    <w:rsid w:val="00CA61F4"/>
    <w:rsid w:val="00CA6A1E"/>
    <w:rsid w:val="00CA792C"/>
    <w:rsid w:val="00CA7BF0"/>
    <w:rsid w:val="00CB013E"/>
    <w:rsid w:val="00CB0A77"/>
    <w:rsid w:val="00CB0B5E"/>
    <w:rsid w:val="00CB1F63"/>
    <w:rsid w:val="00CB285B"/>
    <w:rsid w:val="00CB30EA"/>
    <w:rsid w:val="00CB312D"/>
    <w:rsid w:val="00CB426A"/>
    <w:rsid w:val="00CB4B5D"/>
    <w:rsid w:val="00CB5A5E"/>
    <w:rsid w:val="00CB6233"/>
    <w:rsid w:val="00CB658E"/>
    <w:rsid w:val="00CB69BB"/>
    <w:rsid w:val="00CB712D"/>
    <w:rsid w:val="00CB7170"/>
    <w:rsid w:val="00CB75C0"/>
    <w:rsid w:val="00CC040E"/>
    <w:rsid w:val="00CC09A4"/>
    <w:rsid w:val="00CC111F"/>
    <w:rsid w:val="00CC1177"/>
    <w:rsid w:val="00CC1D34"/>
    <w:rsid w:val="00CC2011"/>
    <w:rsid w:val="00CC330C"/>
    <w:rsid w:val="00CC33D9"/>
    <w:rsid w:val="00CC3B44"/>
    <w:rsid w:val="00CC3E57"/>
    <w:rsid w:val="00CC3EA0"/>
    <w:rsid w:val="00CC5683"/>
    <w:rsid w:val="00CC5D39"/>
    <w:rsid w:val="00CC778B"/>
    <w:rsid w:val="00CC7B45"/>
    <w:rsid w:val="00CC7FB9"/>
    <w:rsid w:val="00CD1188"/>
    <w:rsid w:val="00CD2ED1"/>
    <w:rsid w:val="00CD337B"/>
    <w:rsid w:val="00CD4353"/>
    <w:rsid w:val="00CD4468"/>
    <w:rsid w:val="00CD55D2"/>
    <w:rsid w:val="00CD5B4A"/>
    <w:rsid w:val="00CD6C8C"/>
    <w:rsid w:val="00CD70CF"/>
    <w:rsid w:val="00CD772E"/>
    <w:rsid w:val="00CE0424"/>
    <w:rsid w:val="00CE1466"/>
    <w:rsid w:val="00CE191B"/>
    <w:rsid w:val="00CE1AB6"/>
    <w:rsid w:val="00CE3B55"/>
    <w:rsid w:val="00CE3ED3"/>
    <w:rsid w:val="00CE4031"/>
    <w:rsid w:val="00CE443B"/>
    <w:rsid w:val="00CE58CC"/>
    <w:rsid w:val="00CE7561"/>
    <w:rsid w:val="00CF1246"/>
    <w:rsid w:val="00CF1354"/>
    <w:rsid w:val="00CF14A6"/>
    <w:rsid w:val="00CF3B1F"/>
    <w:rsid w:val="00CF3BF6"/>
    <w:rsid w:val="00CF3C7F"/>
    <w:rsid w:val="00CF431B"/>
    <w:rsid w:val="00CF574B"/>
    <w:rsid w:val="00CF59BD"/>
    <w:rsid w:val="00CF625B"/>
    <w:rsid w:val="00CF687E"/>
    <w:rsid w:val="00CF6994"/>
    <w:rsid w:val="00D001A4"/>
    <w:rsid w:val="00D0051D"/>
    <w:rsid w:val="00D00ABF"/>
    <w:rsid w:val="00D00F3F"/>
    <w:rsid w:val="00D01FE8"/>
    <w:rsid w:val="00D02E95"/>
    <w:rsid w:val="00D0349B"/>
    <w:rsid w:val="00D03DFF"/>
    <w:rsid w:val="00D10249"/>
    <w:rsid w:val="00D108B4"/>
    <w:rsid w:val="00D112AB"/>
    <w:rsid w:val="00D115C3"/>
    <w:rsid w:val="00D11897"/>
    <w:rsid w:val="00D12DEE"/>
    <w:rsid w:val="00D1302C"/>
    <w:rsid w:val="00D13135"/>
    <w:rsid w:val="00D13E4E"/>
    <w:rsid w:val="00D148F0"/>
    <w:rsid w:val="00D1605A"/>
    <w:rsid w:val="00D17F70"/>
    <w:rsid w:val="00D200D6"/>
    <w:rsid w:val="00D2396E"/>
    <w:rsid w:val="00D239A7"/>
    <w:rsid w:val="00D23F47"/>
    <w:rsid w:val="00D253E1"/>
    <w:rsid w:val="00D25E85"/>
    <w:rsid w:val="00D25FEC"/>
    <w:rsid w:val="00D2673D"/>
    <w:rsid w:val="00D27532"/>
    <w:rsid w:val="00D30007"/>
    <w:rsid w:val="00D31944"/>
    <w:rsid w:val="00D31CAA"/>
    <w:rsid w:val="00D31E2B"/>
    <w:rsid w:val="00D32304"/>
    <w:rsid w:val="00D33ADE"/>
    <w:rsid w:val="00D3442C"/>
    <w:rsid w:val="00D346EE"/>
    <w:rsid w:val="00D35132"/>
    <w:rsid w:val="00D36E71"/>
    <w:rsid w:val="00D379A6"/>
    <w:rsid w:val="00D37D87"/>
    <w:rsid w:val="00D4061D"/>
    <w:rsid w:val="00D40B33"/>
    <w:rsid w:val="00D4104B"/>
    <w:rsid w:val="00D42AEC"/>
    <w:rsid w:val="00D4318F"/>
    <w:rsid w:val="00D438BF"/>
    <w:rsid w:val="00D439F8"/>
    <w:rsid w:val="00D440F8"/>
    <w:rsid w:val="00D453F9"/>
    <w:rsid w:val="00D46A7D"/>
    <w:rsid w:val="00D46C58"/>
    <w:rsid w:val="00D46E38"/>
    <w:rsid w:val="00D47984"/>
    <w:rsid w:val="00D50449"/>
    <w:rsid w:val="00D513FC"/>
    <w:rsid w:val="00D5198E"/>
    <w:rsid w:val="00D51D6C"/>
    <w:rsid w:val="00D52238"/>
    <w:rsid w:val="00D52307"/>
    <w:rsid w:val="00D52777"/>
    <w:rsid w:val="00D542FC"/>
    <w:rsid w:val="00D546FF"/>
    <w:rsid w:val="00D557F8"/>
    <w:rsid w:val="00D55AD5"/>
    <w:rsid w:val="00D576CA"/>
    <w:rsid w:val="00D57B09"/>
    <w:rsid w:val="00D60480"/>
    <w:rsid w:val="00D61AF5"/>
    <w:rsid w:val="00D625C4"/>
    <w:rsid w:val="00D62824"/>
    <w:rsid w:val="00D62994"/>
    <w:rsid w:val="00D62C7A"/>
    <w:rsid w:val="00D64493"/>
    <w:rsid w:val="00D652B5"/>
    <w:rsid w:val="00D65E14"/>
    <w:rsid w:val="00D66155"/>
    <w:rsid w:val="00D66906"/>
    <w:rsid w:val="00D6739C"/>
    <w:rsid w:val="00D67520"/>
    <w:rsid w:val="00D70250"/>
    <w:rsid w:val="00D708B0"/>
    <w:rsid w:val="00D72003"/>
    <w:rsid w:val="00D7256D"/>
    <w:rsid w:val="00D72894"/>
    <w:rsid w:val="00D7332F"/>
    <w:rsid w:val="00D73AC0"/>
    <w:rsid w:val="00D740A7"/>
    <w:rsid w:val="00D75519"/>
    <w:rsid w:val="00D756CD"/>
    <w:rsid w:val="00D77B1D"/>
    <w:rsid w:val="00D8021F"/>
    <w:rsid w:val="00D80383"/>
    <w:rsid w:val="00D81710"/>
    <w:rsid w:val="00D823C6"/>
    <w:rsid w:val="00D82642"/>
    <w:rsid w:val="00D82919"/>
    <w:rsid w:val="00D82EF1"/>
    <w:rsid w:val="00D8327F"/>
    <w:rsid w:val="00D837AD"/>
    <w:rsid w:val="00D83C4A"/>
    <w:rsid w:val="00D83E72"/>
    <w:rsid w:val="00D8586B"/>
    <w:rsid w:val="00D861CB"/>
    <w:rsid w:val="00D86625"/>
    <w:rsid w:val="00D86CA3"/>
    <w:rsid w:val="00D871CE"/>
    <w:rsid w:val="00D9113E"/>
    <w:rsid w:val="00D9196D"/>
    <w:rsid w:val="00D9280D"/>
    <w:rsid w:val="00D92982"/>
    <w:rsid w:val="00D92DE6"/>
    <w:rsid w:val="00D93082"/>
    <w:rsid w:val="00D956C3"/>
    <w:rsid w:val="00D95F6A"/>
    <w:rsid w:val="00D9646F"/>
    <w:rsid w:val="00D96E39"/>
    <w:rsid w:val="00DA1C94"/>
    <w:rsid w:val="00DA2A65"/>
    <w:rsid w:val="00DA3043"/>
    <w:rsid w:val="00DA305E"/>
    <w:rsid w:val="00DA3AD6"/>
    <w:rsid w:val="00DA4B81"/>
    <w:rsid w:val="00DA511D"/>
    <w:rsid w:val="00DA5417"/>
    <w:rsid w:val="00DA56E8"/>
    <w:rsid w:val="00DA5D41"/>
    <w:rsid w:val="00DA609F"/>
    <w:rsid w:val="00DB0A9F"/>
    <w:rsid w:val="00DB0CE8"/>
    <w:rsid w:val="00DB16A5"/>
    <w:rsid w:val="00DB171F"/>
    <w:rsid w:val="00DB240F"/>
    <w:rsid w:val="00DB2745"/>
    <w:rsid w:val="00DB377D"/>
    <w:rsid w:val="00DB3ADE"/>
    <w:rsid w:val="00DB3BD9"/>
    <w:rsid w:val="00DB4BAF"/>
    <w:rsid w:val="00DB5A67"/>
    <w:rsid w:val="00DB75C4"/>
    <w:rsid w:val="00DC1F5F"/>
    <w:rsid w:val="00DC2487"/>
    <w:rsid w:val="00DC2540"/>
    <w:rsid w:val="00DC2D36"/>
    <w:rsid w:val="00DC2F5E"/>
    <w:rsid w:val="00DC300C"/>
    <w:rsid w:val="00DC3AC3"/>
    <w:rsid w:val="00DC53EF"/>
    <w:rsid w:val="00DC5D8C"/>
    <w:rsid w:val="00DC6EA7"/>
    <w:rsid w:val="00DC72FA"/>
    <w:rsid w:val="00DC7B59"/>
    <w:rsid w:val="00DC7BB4"/>
    <w:rsid w:val="00DD0008"/>
    <w:rsid w:val="00DD047E"/>
    <w:rsid w:val="00DD141C"/>
    <w:rsid w:val="00DD245C"/>
    <w:rsid w:val="00DD46B3"/>
    <w:rsid w:val="00DD5976"/>
    <w:rsid w:val="00DD5AD1"/>
    <w:rsid w:val="00DD5C51"/>
    <w:rsid w:val="00DD5D50"/>
    <w:rsid w:val="00DE0AB1"/>
    <w:rsid w:val="00DE3148"/>
    <w:rsid w:val="00DE5608"/>
    <w:rsid w:val="00DE58D0"/>
    <w:rsid w:val="00DE5A9A"/>
    <w:rsid w:val="00DE654F"/>
    <w:rsid w:val="00DE7417"/>
    <w:rsid w:val="00DF05B7"/>
    <w:rsid w:val="00DF0B6E"/>
    <w:rsid w:val="00DF107E"/>
    <w:rsid w:val="00DF15E0"/>
    <w:rsid w:val="00DF36DF"/>
    <w:rsid w:val="00DF37A0"/>
    <w:rsid w:val="00DF3844"/>
    <w:rsid w:val="00DF3D86"/>
    <w:rsid w:val="00DF4CE5"/>
    <w:rsid w:val="00DF531F"/>
    <w:rsid w:val="00DF5D3F"/>
    <w:rsid w:val="00DF61E1"/>
    <w:rsid w:val="00DF6F46"/>
    <w:rsid w:val="00DF7F65"/>
    <w:rsid w:val="00E00652"/>
    <w:rsid w:val="00E00C50"/>
    <w:rsid w:val="00E0202E"/>
    <w:rsid w:val="00E020A8"/>
    <w:rsid w:val="00E0357C"/>
    <w:rsid w:val="00E0521D"/>
    <w:rsid w:val="00E05668"/>
    <w:rsid w:val="00E05ACA"/>
    <w:rsid w:val="00E10155"/>
    <w:rsid w:val="00E110E7"/>
    <w:rsid w:val="00E1110A"/>
    <w:rsid w:val="00E11B20"/>
    <w:rsid w:val="00E11E1E"/>
    <w:rsid w:val="00E13DE5"/>
    <w:rsid w:val="00E157BE"/>
    <w:rsid w:val="00E16690"/>
    <w:rsid w:val="00E17788"/>
    <w:rsid w:val="00E17FA2"/>
    <w:rsid w:val="00E20343"/>
    <w:rsid w:val="00E21559"/>
    <w:rsid w:val="00E21B49"/>
    <w:rsid w:val="00E22330"/>
    <w:rsid w:val="00E22D19"/>
    <w:rsid w:val="00E24135"/>
    <w:rsid w:val="00E25302"/>
    <w:rsid w:val="00E25462"/>
    <w:rsid w:val="00E259A5"/>
    <w:rsid w:val="00E25D4B"/>
    <w:rsid w:val="00E274B4"/>
    <w:rsid w:val="00E30B5A"/>
    <w:rsid w:val="00E3123D"/>
    <w:rsid w:val="00E31461"/>
    <w:rsid w:val="00E31D43"/>
    <w:rsid w:val="00E32608"/>
    <w:rsid w:val="00E3337E"/>
    <w:rsid w:val="00E33DEB"/>
    <w:rsid w:val="00E34188"/>
    <w:rsid w:val="00E34B6E"/>
    <w:rsid w:val="00E35559"/>
    <w:rsid w:val="00E35D99"/>
    <w:rsid w:val="00E36737"/>
    <w:rsid w:val="00E36949"/>
    <w:rsid w:val="00E3723A"/>
    <w:rsid w:val="00E37860"/>
    <w:rsid w:val="00E4278E"/>
    <w:rsid w:val="00E442A4"/>
    <w:rsid w:val="00E446F1"/>
    <w:rsid w:val="00E44AC4"/>
    <w:rsid w:val="00E44E83"/>
    <w:rsid w:val="00E4647F"/>
    <w:rsid w:val="00E46886"/>
    <w:rsid w:val="00E46BB4"/>
    <w:rsid w:val="00E47A8C"/>
    <w:rsid w:val="00E47AEF"/>
    <w:rsid w:val="00E50E4E"/>
    <w:rsid w:val="00E521F6"/>
    <w:rsid w:val="00E53B75"/>
    <w:rsid w:val="00E54E3B"/>
    <w:rsid w:val="00E550DA"/>
    <w:rsid w:val="00E5544F"/>
    <w:rsid w:val="00E56120"/>
    <w:rsid w:val="00E57565"/>
    <w:rsid w:val="00E60516"/>
    <w:rsid w:val="00E61556"/>
    <w:rsid w:val="00E622FE"/>
    <w:rsid w:val="00E62A03"/>
    <w:rsid w:val="00E62E32"/>
    <w:rsid w:val="00E6365D"/>
    <w:rsid w:val="00E63838"/>
    <w:rsid w:val="00E64434"/>
    <w:rsid w:val="00E64A67"/>
    <w:rsid w:val="00E6516B"/>
    <w:rsid w:val="00E6568E"/>
    <w:rsid w:val="00E67C51"/>
    <w:rsid w:val="00E707D3"/>
    <w:rsid w:val="00E722D0"/>
    <w:rsid w:val="00E72354"/>
    <w:rsid w:val="00E72EFC"/>
    <w:rsid w:val="00E740D3"/>
    <w:rsid w:val="00E758EC"/>
    <w:rsid w:val="00E80346"/>
    <w:rsid w:val="00E80E41"/>
    <w:rsid w:val="00E81D06"/>
    <w:rsid w:val="00E81E63"/>
    <w:rsid w:val="00E8234C"/>
    <w:rsid w:val="00E83AA9"/>
    <w:rsid w:val="00E85928"/>
    <w:rsid w:val="00E86849"/>
    <w:rsid w:val="00E87822"/>
    <w:rsid w:val="00E90020"/>
    <w:rsid w:val="00E9029F"/>
    <w:rsid w:val="00E90395"/>
    <w:rsid w:val="00E90E49"/>
    <w:rsid w:val="00E917F9"/>
    <w:rsid w:val="00E91D8E"/>
    <w:rsid w:val="00E9291C"/>
    <w:rsid w:val="00E93A87"/>
    <w:rsid w:val="00E93FFE"/>
    <w:rsid w:val="00E94F8A"/>
    <w:rsid w:val="00E95C1A"/>
    <w:rsid w:val="00E9664F"/>
    <w:rsid w:val="00E96B30"/>
    <w:rsid w:val="00E9707C"/>
    <w:rsid w:val="00EA07E7"/>
    <w:rsid w:val="00EA0E90"/>
    <w:rsid w:val="00EA3ED2"/>
    <w:rsid w:val="00EA48EC"/>
    <w:rsid w:val="00EA5E21"/>
    <w:rsid w:val="00EA67F3"/>
    <w:rsid w:val="00EA7A41"/>
    <w:rsid w:val="00EB036A"/>
    <w:rsid w:val="00EB077B"/>
    <w:rsid w:val="00EB1281"/>
    <w:rsid w:val="00EB17E2"/>
    <w:rsid w:val="00EB2306"/>
    <w:rsid w:val="00EB4EA2"/>
    <w:rsid w:val="00EB7C1F"/>
    <w:rsid w:val="00EC0090"/>
    <w:rsid w:val="00EC02B5"/>
    <w:rsid w:val="00EC24D5"/>
    <w:rsid w:val="00EC27C6"/>
    <w:rsid w:val="00EC2910"/>
    <w:rsid w:val="00EC3072"/>
    <w:rsid w:val="00EC3CB3"/>
    <w:rsid w:val="00EC3EBD"/>
    <w:rsid w:val="00EC4207"/>
    <w:rsid w:val="00EC420E"/>
    <w:rsid w:val="00EC478E"/>
    <w:rsid w:val="00EC5653"/>
    <w:rsid w:val="00EC7010"/>
    <w:rsid w:val="00EC71CE"/>
    <w:rsid w:val="00EC7381"/>
    <w:rsid w:val="00ED0C83"/>
    <w:rsid w:val="00ED1006"/>
    <w:rsid w:val="00ED212C"/>
    <w:rsid w:val="00ED230E"/>
    <w:rsid w:val="00ED2C52"/>
    <w:rsid w:val="00ED469B"/>
    <w:rsid w:val="00ED4B0F"/>
    <w:rsid w:val="00ED5BE1"/>
    <w:rsid w:val="00ED67DE"/>
    <w:rsid w:val="00ED68B1"/>
    <w:rsid w:val="00EE0F9E"/>
    <w:rsid w:val="00EE1EAD"/>
    <w:rsid w:val="00EE2F08"/>
    <w:rsid w:val="00EE5395"/>
    <w:rsid w:val="00EE5DC5"/>
    <w:rsid w:val="00EE65F9"/>
    <w:rsid w:val="00EE6BB3"/>
    <w:rsid w:val="00EE733D"/>
    <w:rsid w:val="00EE7C85"/>
    <w:rsid w:val="00EE7D4D"/>
    <w:rsid w:val="00EF0C5E"/>
    <w:rsid w:val="00EF18FE"/>
    <w:rsid w:val="00EF3B22"/>
    <w:rsid w:val="00EF40C0"/>
    <w:rsid w:val="00EF43BF"/>
    <w:rsid w:val="00EF51A5"/>
    <w:rsid w:val="00EF5787"/>
    <w:rsid w:val="00EF60D0"/>
    <w:rsid w:val="00EF633B"/>
    <w:rsid w:val="00EF7828"/>
    <w:rsid w:val="00F00868"/>
    <w:rsid w:val="00F0088A"/>
    <w:rsid w:val="00F00AE5"/>
    <w:rsid w:val="00F00DF3"/>
    <w:rsid w:val="00F037CB"/>
    <w:rsid w:val="00F03FE4"/>
    <w:rsid w:val="00F04810"/>
    <w:rsid w:val="00F0528D"/>
    <w:rsid w:val="00F0685A"/>
    <w:rsid w:val="00F06C67"/>
    <w:rsid w:val="00F06DFD"/>
    <w:rsid w:val="00F071D1"/>
    <w:rsid w:val="00F07533"/>
    <w:rsid w:val="00F076EA"/>
    <w:rsid w:val="00F102D3"/>
    <w:rsid w:val="00F105AA"/>
    <w:rsid w:val="00F10629"/>
    <w:rsid w:val="00F114A6"/>
    <w:rsid w:val="00F123DC"/>
    <w:rsid w:val="00F12973"/>
    <w:rsid w:val="00F1480E"/>
    <w:rsid w:val="00F15FA5"/>
    <w:rsid w:val="00F1615B"/>
    <w:rsid w:val="00F1691E"/>
    <w:rsid w:val="00F17AD2"/>
    <w:rsid w:val="00F17C12"/>
    <w:rsid w:val="00F209B7"/>
    <w:rsid w:val="00F222EB"/>
    <w:rsid w:val="00F22AAD"/>
    <w:rsid w:val="00F2376F"/>
    <w:rsid w:val="00F243D8"/>
    <w:rsid w:val="00F25228"/>
    <w:rsid w:val="00F26882"/>
    <w:rsid w:val="00F27178"/>
    <w:rsid w:val="00F3035E"/>
    <w:rsid w:val="00F305EF"/>
    <w:rsid w:val="00F30828"/>
    <w:rsid w:val="00F313D6"/>
    <w:rsid w:val="00F31EFE"/>
    <w:rsid w:val="00F31F6F"/>
    <w:rsid w:val="00F323E3"/>
    <w:rsid w:val="00F329BD"/>
    <w:rsid w:val="00F33960"/>
    <w:rsid w:val="00F33FB4"/>
    <w:rsid w:val="00F3405C"/>
    <w:rsid w:val="00F341FF"/>
    <w:rsid w:val="00F35254"/>
    <w:rsid w:val="00F366E8"/>
    <w:rsid w:val="00F36A89"/>
    <w:rsid w:val="00F3700D"/>
    <w:rsid w:val="00F37426"/>
    <w:rsid w:val="00F37CA0"/>
    <w:rsid w:val="00F40D2C"/>
    <w:rsid w:val="00F40EDE"/>
    <w:rsid w:val="00F40F0C"/>
    <w:rsid w:val="00F42728"/>
    <w:rsid w:val="00F42795"/>
    <w:rsid w:val="00F429B7"/>
    <w:rsid w:val="00F434FF"/>
    <w:rsid w:val="00F43548"/>
    <w:rsid w:val="00F441BD"/>
    <w:rsid w:val="00F44F62"/>
    <w:rsid w:val="00F45361"/>
    <w:rsid w:val="00F45B5C"/>
    <w:rsid w:val="00F4766C"/>
    <w:rsid w:val="00F47744"/>
    <w:rsid w:val="00F47C7C"/>
    <w:rsid w:val="00F5060E"/>
    <w:rsid w:val="00F507D1"/>
    <w:rsid w:val="00F509D1"/>
    <w:rsid w:val="00F51584"/>
    <w:rsid w:val="00F519CE"/>
    <w:rsid w:val="00F51ADA"/>
    <w:rsid w:val="00F528B6"/>
    <w:rsid w:val="00F5336B"/>
    <w:rsid w:val="00F54BD7"/>
    <w:rsid w:val="00F5604F"/>
    <w:rsid w:val="00F5650D"/>
    <w:rsid w:val="00F56C9A"/>
    <w:rsid w:val="00F57059"/>
    <w:rsid w:val="00F60203"/>
    <w:rsid w:val="00F607C5"/>
    <w:rsid w:val="00F60DEA"/>
    <w:rsid w:val="00F61045"/>
    <w:rsid w:val="00F6180B"/>
    <w:rsid w:val="00F623DC"/>
    <w:rsid w:val="00F629C4"/>
    <w:rsid w:val="00F6302A"/>
    <w:rsid w:val="00F63950"/>
    <w:rsid w:val="00F63F23"/>
    <w:rsid w:val="00F64249"/>
    <w:rsid w:val="00F642B4"/>
    <w:rsid w:val="00F64379"/>
    <w:rsid w:val="00F64C25"/>
    <w:rsid w:val="00F64C2B"/>
    <w:rsid w:val="00F64F87"/>
    <w:rsid w:val="00F651BE"/>
    <w:rsid w:val="00F661A6"/>
    <w:rsid w:val="00F67A6F"/>
    <w:rsid w:val="00F67F53"/>
    <w:rsid w:val="00F703BE"/>
    <w:rsid w:val="00F71F69"/>
    <w:rsid w:val="00F722E7"/>
    <w:rsid w:val="00F72B72"/>
    <w:rsid w:val="00F72C58"/>
    <w:rsid w:val="00F73A2B"/>
    <w:rsid w:val="00F73A57"/>
    <w:rsid w:val="00F73B4D"/>
    <w:rsid w:val="00F74260"/>
    <w:rsid w:val="00F74511"/>
    <w:rsid w:val="00F74BB9"/>
    <w:rsid w:val="00F74EF5"/>
    <w:rsid w:val="00F74F17"/>
    <w:rsid w:val="00F75582"/>
    <w:rsid w:val="00F75E48"/>
    <w:rsid w:val="00F7612A"/>
    <w:rsid w:val="00F76EFA"/>
    <w:rsid w:val="00F80094"/>
    <w:rsid w:val="00F801C4"/>
    <w:rsid w:val="00F804BE"/>
    <w:rsid w:val="00F817CE"/>
    <w:rsid w:val="00F81D7B"/>
    <w:rsid w:val="00F81E1A"/>
    <w:rsid w:val="00F83F35"/>
    <w:rsid w:val="00F844E1"/>
    <w:rsid w:val="00F8456C"/>
    <w:rsid w:val="00F85015"/>
    <w:rsid w:val="00F859D8"/>
    <w:rsid w:val="00F85A7E"/>
    <w:rsid w:val="00F85F0A"/>
    <w:rsid w:val="00F868F5"/>
    <w:rsid w:val="00F87027"/>
    <w:rsid w:val="00F9056A"/>
    <w:rsid w:val="00F90931"/>
    <w:rsid w:val="00F90DD9"/>
    <w:rsid w:val="00F90F8D"/>
    <w:rsid w:val="00F91369"/>
    <w:rsid w:val="00F91EC4"/>
    <w:rsid w:val="00F92782"/>
    <w:rsid w:val="00F93AA9"/>
    <w:rsid w:val="00F946C3"/>
    <w:rsid w:val="00F95542"/>
    <w:rsid w:val="00F96985"/>
    <w:rsid w:val="00F96998"/>
    <w:rsid w:val="00F97838"/>
    <w:rsid w:val="00FA04B7"/>
    <w:rsid w:val="00FA2BB3"/>
    <w:rsid w:val="00FA3157"/>
    <w:rsid w:val="00FA460C"/>
    <w:rsid w:val="00FA4AF5"/>
    <w:rsid w:val="00FB14DB"/>
    <w:rsid w:val="00FB34F6"/>
    <w:rsid w:val="00FB4C80"/>
    <w:rsid w:val="00FB5CAC"/>
    <w:rsid w:val="00FB619A"/>
    <w:rsid w:val="00FB6A6A"/>
    <w:rsid w:val="00FB7512"/>
    <w:rsid w:val="00FC05B4"/>
    <w:rsid w:val="00FC1984"/>
    <w:rsid w:val="00FC2292"/>
    <w:rsid w:val="00FC2675"/>
    <w:rsid w:val="00FC2DD9"/>
    <w:rsid w:val="00FC312A"/>
    <w:rsid w:val="00FC4E21"/>
    <w:rsid w:val="00FC63A4"/>
    <w:rsid w:val="00FC7429"/>
    <w:rsid w:val="00FD0496"/>
    <w:rsid w:val="00FD07F6"/>
    <w:rsid w:val="00FD0A6F"/>
    <w:rsid w:val="00FD1EC8"/>
    <w:rsid w:val="00FD2883"/>
    <w:rsid w:val="00FD390D"/>
    <w:rsid w:val="00FD3A84"/>
    <w:rsid w:val="00FD47ED"/>
    <w:rsid w:val="00FD4BB7"/>
    <w:rsid w:val="00FD55CC"/>
    <w:rsid w:val="00FD7418"/>
    <w:rsid w:val="00FD74DB"/>
    <w:rsid w:val="00FD7660"/>
    <w:rsid w:val="00FE0655"/>
    <w:rsid w:val="00FE0DCC"/>
    <w:rsid w:val="00FE2365"/>
    <w:rsid w:val="00FE36DA"/>
    <w:rsid w:val="00FE37D7"/>
    <w:rsid w:val="00FE3C70"/>
    <w:rsid w:val="00FE4C7B"/>
    <w:rsid w:val="00FE5A20"/>
    <w:rsid w:val="00FE6169"/>
    <w:rsid w:val="00FE7336"/>
    <w:rsid w:val="00FE74FD"/>
    <w:rsid w:val="00FE787C"/>
    <w:rsid w:val="00FE7DD3"/>
    <w:rsid w:val="00FF0EE0"/>
    <w:rsid w:val="00FF1CF5"/>
    <w:rsid w:val="00FF45A5"/>
    <w:rsid w:val="00FF4E7F"/>
    <w:rsid w:val="00FF5039"/>
    <w:rsid w:val="00FF5B40"/>
    <w:rsid w:val="00FF5C91"/>
    <w:rsid w:val="00FF70F9"/>
    <w:rsid w:val="00FF75CD"/>
    <w:rsid w:val="016F863B"/>
    <w:rsid w:val="030B541F"/>
    <w:rsid w:val="03B64137"/>
    <w:rsid w:val="09ED844E"/>
    <w:rsid w:val="0C69C0AA"/>
    <w:rsid w:val="0EED89E6"/>
    <w:rsid w:val="116E040E"/>
    <w:rsid w:val="1435A875"/>
    <w:rsid w:val="18106490"/>
    <w:rsid w:val="1A880BC3"/>
    <w:rsid w:val="1AC29D98"/>
    <w:rsid w:val="1B3BCBA4"/>
    <w:rsid w:val="1B82FDD4"/>
    <w:rsid w:val="20166D4E"/>
    <w:rsid w:val="23843C84"/>
    <w:rsid w:val="24161E91"/>
    <w:rsid w:val="245B306B"/>
    <w:rsid w:val="289C57C5"/>
    <w:rsid w:val="290FCDAC"/>
    <w:rsid w:val="2A2837B9"/>
    <w:rsid w:val="2A606E9A"/>
    <w:rsid w:val="2B68BE3C"/>
    <w:rsid w:val="2D58D4E0"/>
    <w:rsid w:val="2E300262"/>
    <w:rsid w:val="2E81238E"/>
    <w:rsid w:val="2ED3A8B5"/>
    <w:rsid w:val="3116CC86"/>
    <w:rsid w:val="317F9C4E"/>
    <w:rsid w:val="31F9C4DC"/>
    <w:rsid w:val="3244E07E"/>
    <w:rsid w:val="32BE410B"/>
    <w:rsid w:val="34BA9AE0"/>
    <w:rsid w:val="352DC7CB"/>
    <w:rsid w:val="38C236E0"/>
    <w:rsid w:val="3985993B"/>
    <w:rsid w:val="3B196A13"/>
    <w:rsid w:val="3DCDE6CE"/>
    <w:rsid w:val="3DEA9353"/>
    <w:rsid w:val="3F94AA2E"/>
    <w:rsid w:val="40424A64"/>
    <w:rsid w:val="41B944BF"/>
    <w:rsid w:val="420C2FEC"/>
    <w:rsid w:val="42CA3B9B"/>
    <w:rsid w:val="446B7DC4"/>
    <w:rsid w:val="451C9D53"/>
    <w:rsid w:val="455EADAE"/>
    <w:rsid w:val="4606B864"/>
    <w:rsid w:val="4654D021"/>
    <w:rsid w:val="485D050B"/>
    <w:rsid w:val="48BEDE02"/>
    <w:rsid w:val="4959E3B8"/>
    <w:rsid w:val="4BD1DD63"/>
    <w:rsid w:val="4F5F80E9"/>
    <w:rsid w:val="5026B14D"/>
    <w:rsid w:val="51AD7E16"/>
    <w:rsid w:val="528B9153"/>
    <w:rsid w:val="52A7A301"/>
    <w:rsid w:val="5307F19B"/>
    <w:rsid w:val="5366A30C"/>
    <w:rsid w:val="5448E0A4"/>
    <w:rsid w:val="54E1E72A"/>
    <w:rsid w:val="560ED920"/>
    <w:rsid w:val="5699073F"/>
    <w:rsid w:val="5A52F921"/>
    <w:rsid w:val="5ADC020D"/>
    <w:rsid w:val="5D9A5319"/>
    <w:rsid w:val="5E4D8899"/>
    <w:rsid w:val="6078E46D"/>
    <w:rsid w:val="60B2E96A"/>
    <w:rsid w:val="6128CAA6"/>
    <w:rsid w:val="6448D881"/>
    <w:rsid w:val="711A7FCF"/>
    <w:rsid w:val="728FE992"/>
    <w:rsid w:val="74719EFF"/>
    <w:rsid w:val="74C68A75"/>
    <w:rsid w:val="7500903C"/>
    <w:rsid w:val="77E7E866"/>
    <w:rsid w:val="7AE06DA8"/>
    <w:rsid w:val="7E2E5BCF"/>
    <w:rsid w:val="7E3183E3"/>
    <w:rsid w:val="7F45685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9B1F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E3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6B7E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7E3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7300CA"/>
    <w:pPr>
      <w:numPr>
        <w:numId w:val="2"/>
      </w:numPr>
      <w:tabs>
        <w:tab w:val="clear" w:pos="1304"/>
        <w:tab w:val="left" w:pos="1701"/>
      </w:tabs>
      <w:ind w:left="1701" w:hanging="1701"/>
      <w:jc w:val="both"/>
    </w:pPr>
    <w:rPr>
      <w:rFonts w:ascii="Arial" w:hAnsi="Arial" w:cs="Arial"/>
      <w:b/>
      <w:bCs/>
      <w:sz w:val="20"/>
      <w:lang w:val="en-GB"/>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7300CA"/>
    <w:pPr>
      <w:numPr>
        <w:numId w:val="4"/>
      </w:numPr>
      <w:ind w:left="1701" w:hanging="1701"/>
    </w:pPr>
    <w:rPr>
      <w:iCs/>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val="sv-SE" w:eastAsia="zh-CN"/>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Theme="minorHAnsi" w:eastAsia="MS Mincho" w:hAnsiTheme="minorHAnsi"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EastAsia" w:hAnsiTheme="minorHAnsi" w:cstheme="minorBidi"/>
      <w:sz w:val="16"/>
      <w:szCs w:val="22"/>
      <w:lang w:val="sv-SE" w:eastAsia="zh-CN"/>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0A5"/>
    <w:rPr>
      <w:rFonts w:ascii="Calibri" w:eastAsia="Calibri" w:hAnsi="Calibri" w:cstheme="minorBidi"/>
      <w:sz w:val="22"/>
      <w:szCs w:val="22"/>
      <w:lang w:val="x-none" w:eastAsia="zh-CN"/>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Theme="minorHAnsi" w:eastAsiaTheme="minorEastAsia" w:hAnsiTheme="minorHAnsi" w:cstheme="minorBidi"/>
      <w:sz w:val="18"/>
      <w:szCs w:val="22"/>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Theme="minorHAnsi" w:eastAsia="Malgun Gothic" w:hAnsiTheme="minorHAnsi"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3"/>
      </w:numPr>
      <w:contextualSpacing/>
    </w:pPr>
  </w:style>
  <w:style w:type="character" w:customStyle="1" w:styleId="ReferenceChar">
    <w:name w:val="Reference Char"/>
    <w:link w:val="Reference"/>
    <w:rsid w:val="003860F9"/>
    <w:rPr>
      <w:rFonts w:asciiTheme="minorHAnsi" w:eastAsiaTheme="minorEastAsia" w:hAnsiTheme="minorHAnsi" w:cstheme="minorBidi"/>
      <w:sz w:val="22"/>
      <w:szCs w:val="22"/>
      <w:lang w:val="sv-SE" w:eastAsia="zh-CN"/>
    </w:rPr>
  </w:style>
  <w:style w:type="character" w:customStyle="1" w:styleId="IvDbodytextChar">
    <w:name w:val="IvD bodytext Char"/>
    <w:basedOn w:val="DefaultParagraphFont"/>
    <w:link w:val="IvDbodytext"/>
    <w:locked/>
    <w:rsid w:val="00032CA1"/>
    <w:rPr>
      <w:rFonts w:ascii="Arial" w:eastAsiaTheme="minorEastAsia" w:hAnsi="Arial" w:cs="Arial"/>
      <w:spacing w:val="2"/>
      <w:sz w:val="22"/>
      <w:szCs w:val="22"/>
    </w:rPr>
  </w:style>
  <w:style w:type="paragraph" w:customStyle="1" w:styleId="IvDbodytext">
    <w:name w:val="IvD bodytext"/>
    <w:basedOn w:val="BodyText"/>
    <w:link w:val="IvDbodytextChar"/>
    <w:qFormat/>
    <w:rsid w:val="00032CA1"/>
    <w:pPr>
      <w:keepLines/>
      <w:tabs>
        <w:tab w:val="left" w:pos="2552"/>
        <w:tab w:val="left" w:pos="3856"/>
        <w:tab w:val="left" w:pos="5216"/>
        <w:tab w:val="left" w:pos="6464"/>
        <w:tab w:val="left" w:pos="7768"/>
        <w:tab w:val="left" w:pos="9072"/>
        <w:tab w:val="left" w:pos="9639"/>
      </w:tabs>
      <w:spacing w:before="240"/>
    </w:pPr>
    <w:rPr>
      <w:rFonts w:ascii="Arial" w:hAnsi="Arial" w:cs="Arial"/>
      <w:spacing w:val="2"/>
      <w:lang w:val="en-GB" w:eastAsia="en-GB"/>
    </w:rPr>
  </w:style>
  <w:style w:type="paragraph" w:styleId="Revision">
    <w:name w:val="Revision"/>
    <w:hidden/>
    <w:uiPriority w:val="99"/>
    <w:semiHidden/>
    <w:rsid w:val="001F2151"/>
    <w:rPr>
      <w:rFonts w:asciiTheme="minorHAnsi" w:eastAsiaTheme="minorHAnsi" w:hAnsiTheme="minorHAnsi" w:cstheme="minorBidi"/>
      <w:sz w:val="24"/>
      <w:szCs w:val="24"/>
      <w:lang w:eastAsia="en-US"/>
    </w:rPr>
  </w:style>
  <w:style w:type="character" w:customStyle="1" w:styleId="emoticon-hidden-text">
    <w:name w:val="emoticon-hidden-text"/>
    <w:basedOn w:val="DefaultParagraphFont"/>
    <w:rsid w:val="00476AA5"/>
  </w:style>
  <w:style w:type="character" w:styleId="UnresolvedMention">
    <w:name w:val="Unresolved Mention"/>
    <w:basedOn w:val="DefaultParagraphFont"/>
    <w:uiPriority w:val="99"/>
    <w:unhideWhenUsed/>
    <w:rsid w:val="004C6A8B"/>
    <w:rPr>
      <w:color w:val="605E5C"/>
      <w:shd w:val="clear" w:color="auto" w:fill="E1DFDD"/>
    </w:rPr>
  </w:style>
  <w:style w:type="character" w:styleId="Mention">
    <w:name w:val="Mention"/>
    <w:basedOn w:val="DefaultParagraphFont"/>
    <w:uiPriority w:val="99"/>
    <w:unhideWhenUsed/>
    <w:rsid w:val="004C6A8B"/>
    <w:rPr>
      <w:color w:val="2B579A"/>
      <w:shd w:val="clear" w:color="auto" w:fill="E1DFDD"/>
    </w:rPr>
  </w:style>
  <w:style w:type="paragraph" w:customStyle="1" w:styleId="IvDtabletext">
    <w:name w:val="IvD tabletext"/>
    <w:basedOn w:val="BodyText"/>
    <w:link w:val="IvDtabletextChar"/>
    <w:qFormat/>
    <w:rsid w:val="004C6A8B"/>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cs="Times New Roman"/>
      <w:spacing w:val="2"/>
      <w:sz w:val="20"/>
      <w:szCs w:val="20"/>
    </w:rPr>
  </w:style>
  <w:style w:type="character" w:customStyle="1" w:styleId="IvDtabletextChar">
    <w:name w:val="IvD tabletext Char"/>
    <w:basedOn w:val="BodyTextChar"/>
    <w:link w:val="IvDtabletext"/>
    <w:rsid w:val="004C6A8B"/>
    <w:rPr>
      <w:rFonts w:ascii="Arial" w:hAnsi="Arial"/>
      <w:spacing w:val="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892784">
      <w:bodyDiv w:val="1"/>
      <w:marLeft w:val="0"/>
      <w:marRight w:val="0"/>
      <w:marTop w:val="0"/>
      <w:marBottom w:val="0"/>
      <w:divBdr>
        <w:top w:val="none" w:sz="0" w:space="0" w:color="auto"/>
        <w:left w:val="none" w:sz="0" w:space="0" w:color="auto"/>
        <w:bottom w:val="none" w:sz="0" w:space="0" w:color="auto"/>
        <w:right w:val="none" w:sz="0" w:space="0" w:color="auto"/>
      </w:divBdr>
      <w:divsChild>
        <w:div w:id="305596587">
          <w:marLeft w:val="0"/>
          <w:marRight w:val="0"/>
          <w:marTop w:val="0"/>
          <w:marBottom w:val="0"/>
          <w:divBdr>
            <w:top w:val="none" w:sz="0" w:space="0" w:color="auto"/>
            <w:left w:val="none" w:sz="0" w:space="0" w:color="auto"/>
            <w:bottom w:val="none" w:sz="0" w:space="0" w:color="auto"/>
            <w:right w:val="none" w:sz="0" w:space="0" w:color="auto"/>
          </w:divBdr>
        </w:div>
      </w:divsChild>
    </w:div>
    <w:div w:id="155731012">
      <w:bodyDiv w:val="1"/>
      <w:marLeft w:val="0"/>
      <w:marRight w:val="0"/>
      <w:marTop w:val="0"/>
      <w:marBottom w:val="0"/>
      <w:divBdr>
        <w:top w:val="none" w:sz="0" w:space="0" w:color="auto"/>
        <w:left w:val="none" w:sz="0" w:space="0" w:color="auto"/>
        <w:bottom w:val="none" w:sz="0" w:space="0" w:color="auto"/>
        <w:right w:val="none" w:sz="0" w:space="0" w:color="auto"/>
      </w:divBdr>
    </w:div>
    <w:div w:id="182860455">
      <w:bodyDiv w:val="1"/>
      <w:marLeft w:val="0"/>
      <w:marRight w:val="0"/>
      <w:marTop w:val="0"/>
      <w:marBottom w:val="0"/>
      <w:divBdr>
        <w:top w:val="none" w:sz="0" w:space="0" w:color="auto"/>
        <w:left w:val="none" w:sz="0" w:space="0" w:color="auto"/>
        <w:bottom w:val="none" w:sz="0" w:space="0" w:color="auto"/>
        <w:right w:val="none" w:sz="0" w:space="0" w:color="auto"/>
      </w:divBdr>
      <w:divsChild>
        <w:div w:id="1310357276">
          <w:marLeft w:val="1080"/>
          <w:marRight w:val="0"/>
          <w:marTop w:val="100"/>
          <w:marBottom w:val="0"/>
          <w:divBdr>
            <w:top w:val="none" w:sz="0" w:space="0" w:color="auto"/>
            <w:left w:val="none" w:sz="0" w:space="0" w:color="auto"/>
            <w:bottom w:val="none" w:sz="0" w:space="0" w:color="auto"/>
            <w:right w:val="none" w:sz="0" w:space="0" w:color="auto"/>
          </w:divBdr>
        </w:div>
      </w:divsChild>
    </w:div>
    <w:div w:id="333144569">
      <w:bodyDiv w:val="1"/>
      <w:marLeft w:val="0"/>
      <w:marRight w:val="0"/>
      <w:marTop w:val="0"/>
      <w:marBottom w:val="0"/>
      <w:divBdr>
        <w:top w:val="none" w:sz="0" w:space="0" w:color="auto"/>
        <w:left w:val="none" w:sz="0" w:space="0" w:color="auto"/>
        <w:bottom w:val="none" w:sz="0" w:space="0" w:color="auto"/>
        <w:right w:val="none" w:sz="0" w:space="0" w:color="auto"/>
      </w:divBdr>
    </w:div>
    <w:div w:id="434987004">
      <w:bodyDiv w:val="1"/>
      <w:marLeft w:val="0"/>
      <w:marRight w:val="0"/>
      <w:marTop w:val="0"/>
      <w:marBottom w:val="0"/>
      <w:divBdr>
        <w:top w:val="none" w:sz="0" w:space="0" w:color="auto"/>
        <w:left w:val="none" w:sz="0" w:space="0" w:color="auto"/>
        <w:bottom w:val="none" w:sz="0" w:space="0" w:color="auto"/>
        <w:right w:val="none" w:sz="0" w:space="0" w:color="auto"/>
      </w:divBdr>
      <w:divsChild>
        <w:div w:id="411313547">
          <w:marLeft w:val="360"/>
          <w:marRight w:val="0"/>
          <w:marTop w:val="200"/>
          <w:marBottom w:val="0"/>
          <w:divBdr>
            <w:top w:val="none" w:sz="0" w:space="0" w:color="auto"/>
            <w:left w:val="none" w:sz="0" w:space="0" w:color="auto"/>
            <w:bottom w:val="none" w:sz="0" w:space="0" w:color="auto"/>
            <w:right w:val="none" w:sz="0" w:space="0" w:color="auto"/>
          </w:divBdr>
        </w:div>
        <w:div w:id="1058094282">
          <w:marLeft w:val="360"/>
          <w:marRight w:val="0"/>
          <w:marTop w:val="200"/>
          <w:marBottom w:val="0"/>
          <w:divBdr>
            <w:top w:val="none" w:sz="0" w:space="0" w:color="auto"/>
            <w:left w:val="none" w:sz="0" w:space="0" w:color="auto"/>
            <w:bottom w:val="none" w:sz="0" w:space="0" w:color="auto"/>
            <w:right w:val="none" w:sz="0" w:space="0" w:color="auto"/>
          </w:divBdr>
        </w:div>
        <w:div w:id="1418282663">
          <w:marLeft w:val="360"/>
          <w:marRight w:val="0"/>
          <w:marTop w:val="200"/>
          <w:marBottom w:val="0"/>
          <w:divBdr>
            <w:top w:val="none" w:sz="0" w:space="0" w:color="auto"/>
            <w:left w:val="none" w:sz="0" w:space="0" w:color="auto"/>
            <w:bottom w:val="none" w:sz="0" w:space="0" w:color="auto"/>
            <w:right w:val="none" w:sz="0" w:space="0" w:color="auto"/>
          </w:divBdr>
        </w:div>
      </w:divsChild>
    </w:div>
    <w:div w:id="719549851">
      <w:bodyDiv w:val="1"/>
      <w:marLeft w:val="0"/>
      <w:marRight w:val="0"/>
      <w:marTop w:val="0"/>
      <w:marBottom w:val="0"/>
      <w:divBdr>
        <w:top w:val="none" w:sz="0" w:space="0" w:color="auto"/>
        <w:left w:val="none" w:sz="0" w:space="0" w:color="auto"/>
        <w:bottom w:val="none" w:sz="0" w:space="0" w:color="auto"/>
        <w:right w:val="none" w:sz="0" w:space="0" w:color="auto"/>
      </w:divBdr>
      <w:divsChild>
        <w:div w:id="456293607">
          <w:marLeft w:val="360"/>
          <w:marRight w:val="0"/>
          <w:marTop w:val="200"/>
          <w:marBottom w:val="0"/>
          <w:divBdr>
            <w:top w:val="none" w:sz="0" w:space="0" w:color="auto"/>
            <w:left w:val="none" w:sz="0" w:space="0" w:color="auto"/>
            <w:bottom w:val="none" w:sz="0" w:space="0" w:color="auto"/>
            <w:right w:val="none" w:sz="0" w:space="0" w:color="auto"/>
          </w:divBdr>
        </w:div>
        <w:div w:id="958992376">
          <w:marLeft w:val="360"/>
          <w:marRight w:val="0"/>
          <w:marTop w:val="200"/>
          <w:marBottom w:val="0"/>
          <w:divBdr>
            <w:top w:val="none" w:sz="0" w:space="0" w:color="auto"/>
            <w:left w:val="none" w:sz="0" w:space="0" w:color="auto"/>
            <w:bottom w:val="none" w:sz="0" w:space="0" w:color="auto"/>
            <w:right w:val="none" w:sz="0" w:space="0" w:color="auto"/>
          </w:divBdr>
        </w:div>
        <w:div w:id="2126541117">
          <w:marLeft w:val="360"/>
          <w:marRight w:val="0"/>
          <w:marTop w:val="200"/>
          <w:marBottom w:val="0"/>
          <w:divBdr>
            <w:top w:val="none" w:sz="0" w:space="0" w:color="auto"/>
            <w:left w:val="none" w:sz="0" w:space="0" w:color="auto"/>
            <w:bottom w:val="none" w:sz="0" w:space="0" w:color="auto"/>
            <w:right w:val="none" w:sz="0" w:space="0" w:color="auto"/>
          </w:divBdr>
        </w:div>
      </w:divsChild>
    </w:div>
    <w:div w:id="812913929">
      <w:bodyDiv w:val="1"/>
      <w:marLeft w:val="0"/>
      <w:marRight w:val="0"/>
      <w:marTop w:val="0"/>
      <w:marBottom w:val="0"/>
      <w:divBdr>
        <w:top w:val="none" w:sz="0" w:space="0" w:color="auto"/>
        <w:left w:val="none" w:sz="0" w:space="0" w:color="auto"/>
        <w:bottom w:val="none" w:sz="0" w:space="0" w:color="auto"/>
        <w:right w:val="none" w:sz="0" w:space="0" w:color="auto"/>
      </w:divBdr>
      <w:divsChild>
        <w:div w:id="622004753">
          <w:marLeft w:val="1080"/>
          <w:marRight w:val="0"/>
          <w:marTop w:val="100"/>
          <w:marBottom w:val="0"/>
          <w:divBdr>
            <w:top w:val="none" w:sz="0" w:space="0" w:color="auto"/>
            <w:left w:val="none" w:sz="0" w:space="0" w:color="auto"/>
            <w:bottom w:val="none" w:sz="0" w:space="0" w:color="auto"/>
            <w:right w:val="none" w:sz="0" w:space="0" w:color="auto"/>
          </w:divBdr>
        </w:div>
        <w:div w:id="1386097959">
          <w:marLeft w:val="1080"/>
          <w:marRight w:val="0"/>
          <w:marTop w:val="100"/>
          <w:marBottom w:val="0"/>
          <w:divBdr>
            <w:top w:val="none" w:sz="0" w:space="0" w:color="auto"/>
            <w:left w:val="none" w:sz="0" w:space="0" w:color="auto"/>
            <w:bottom w:val="none" w:sz="0" w:space="0" w:color="auto"/>
            <w:right w:val="none" w:sz="0" w:space="0" w:color="auto"/>
          </w:divBdr>
        </w:div>
        <w:div w:id="1830243334">
          <w:marLeft w:val="1080"/>
          <w:marRight w:val="0"/>
          <w:marTop w:val="100"/>
          <w:marBottom w:val="0"/>
          <w:divBdr>
            <w:top w:val="none" w:sz="0" w:space="0" w:color="auto"/>
            <w:left w:val="none" w:sz="0" w:space="0" w:color="auto"/>
            <w:bottom w:val="none" w:sz="0" w:space="0" w:color="auto"/>
            <w:right w:val="none" w:sz="0" w:space="0" w:color="auto"/>
          </w:divBdr>
        </w:div>
      </w:divsChild>
    </w:div>
    <w:div w:id="826632023">
      <w:bodyDiv w:val="1"/>
      <w:marLeft w:val="0"/>
      <w:marRight w:val="0"/>
      <w:marTop w:val="0"/>
      <w:marBottom w:val="0"/>
      <w:divBdr>
        <w:top w:val="none" w:sz="0" w:space="0" w:color="auto"/>
        <w:left w:val="none" w:sz="0" w:space="0" w:color="auto"/>
        <w:bottom w:val="none" w:sz="0" w:space="0" w:color="auto"/>
        <w:right w:val="none" w:sz="0" w:space="0" w:color="auto"/>
      </w:divBdr>
      <w:divsChild>
        <w:div w:id="89856319">
          <w:marLeft w:val="1800"/>
          <w:marRight w:val="0"/>
          <w:marTop w:val="100"/>
          <w:marBottom w:val="0"/>
          <w:divBdr>
            <w:top w:val="none" w:sz="0" w:space="0" w:color="auto"/>
            <w:left w:val="none" w:sz="0" w:space="0" w:color="auto"/>
            <w:bottom w:val="none" w:sz="0" w:space="0" w:color="auto"/>
            <w:right w:val="none" w:sz="0" w:space="0" w:color="auto"/>
          </w:divBdr>
        </w:div>
        <w:div w:id="178466271">
          <w:marLeft w:val="1800"/>
          <w:marRight w:val="0"/>
          <w:marTop w:val="100"/>
          <w:marBottom w:val="0"/>
          <w:divBdr>
            <w:top w:val="none" w:sz="0" w:space="0" w:color="auto"/>
            <w:left w:val="none" w:sz="0" w:space="0" w:color="auto"/>
            <w:bottom w:val="none" w:sz="0" w:space="0" w:color="auto"/>
            <w:right w:val="none" w:sz="0" w:space="0" w:color="auto"/>
          </w:divBdr>
        </w:div>
        <w:div w:id="678391727">
          <w:marLeft w:val="1080"/>
          <w:marRight w:val="0"/>
          <w:marTop w:val="100"/>
          <w:marBottom w:val="0"/>
          <w:divBdr>
            <w:top w:val="none" w:sz="0" w:space="0" w:color="auto"/>
            <w:left w:val="none" w:sz="0" w:space="0" w:color="auto"/>
            <w:bottom w:val="none" w:sz="0" w:space="0" w:color="auto"/>
            <w:right w:val="none" w:sz="0" w:space="0" w:color="auto"/>
          </w:divBdr>
        </w:div>
        <w:div w:id="678698963">
          <w:marLeft w:val="1080"/>
          <w:marRight w:val="0"/>
          <w:marTop w:val="100"/>
          <w:marBottom w:val="0"/>
          <w:divBdr>
            <w:top w:val="none" w:sz="0" w:space="0" w:color="auto"/>
            <w:left w:val="none" w:sz="0" w:space="0" w:color="auto"/>
            <w:bottom w:val="none" w:sz="0" w:space="0" w:color="auto"/>
            <w:right w:val="none" w:sz="0" w:space="0" w:color="auto"/>
          </w:divBdr>
        </w:div>
        <w:div w:id="898126643">
          <w:marLeft w:val="1800"/>
          <w:marRight w:val="0"/>
          <w:marTop w:val="100"/>
          <w:marBottom w:val="0"/>
          <w:divBdr>
            <w:top w:val="none" w:sz="0" w:space="0" w:color="auto"/>
            <w:left w:val="none" w:sz="0" w:space="0" w:color="auto"/>
            <w:bottom w:val="none" w:sz="0" w:space="0" w:color="auto"/>
            <w:right w:val="none" w:sz="0" w:space="0" w:color="auto"/>
          </w:divBdr>
        </w:div>
        <w:div w:id="1412312956">
          <w:marLeft w:val="1080"/>
          <w:marRight w:val="0"/>
          <w:marTop w:val="100"/>
          <w:marBottom w:val="0"/>
          <w:divBdr>
            <w:top w:val="none" w:sz="0" w:space="0" w:color="auto"/>
            <w:left w:val="none" w:sz="0" w:space="0" w:color="auto"/>
            <w:bottom w:val="none" w:sz="0" w:space="0" w:color="auto"/>
            <w:right w:val="none" w:sz="0" w:space="0" w:color="auto"/>
          </w:divBdr>
        </w:div>
        <w:div w:id="1685548474">
          <w:marLeft w:val="1080"/>
          <w:marRight w:val="0"/>
          <w:marTop w:val="100"/>
          <w:marBottom w:val="0"/>
          <w:divBdr>
            <w:top w:val="none" w:sz="0" w:space="0" w:color="auto"/>
            <w:left w:val="none" w:sz="0" w:space="0" w:color="auto"/>
            <w:bottom w:val="none" w:sz="0" w:space="0" w:color="auto"/>
            <w:right w:val="none" w:sz="0" w:space="0" w:color="auto"/>
          </w:divBdr>
        </w:div>
        <w:div w:id="1789932007">
          <w:marLeft w:val="1800"/>
          <w:marRight w:val="0"/>
          <w:marTop w:val="100"/>
          <w:marBottom w:val="0"/>
          <w:divBdr>
            <w:top w:val="none" w:sz="0" w:space="0" w:color="auto"/>
            <w:left w:val="none" w:sz="0" w:space="0" w:color="auto"/>
            <w:bottom w:val="none" w:sz="0" w:space="0" w:color="auto"/>
            <w:right w:val="none" w:sz="0" w:space="0" w:color="auto"/>
          </w:divBdr>
        </w:div>
        <w:div w:id="2122724725">
          <w:marLeft w:val="1080"/>
          <w:marRight w:val="0"/>
          <w:marTop w:val="100"/>
          <w:marBottom w:val="0"/>
          <w:divBdr>
            <w:top w:val="none" w:sz="0" w:space="0" w:color="auto"/>
            <w:left w:val="none" w:sz="0" w:space="0" w:color="auto"/>
            <w:bottom w:val="none" w:sz="0" w:space="0" w:color="auto"/>
            <w:right w:val="none" w:sz="0" w:space="0" w:color="auto"/>
          </w:divBdr>
        </w:div>
      </w:divsChild>
    </w:div>
    <w:div w:id="860894758">
      <w:bodyDiv w:val="1"/>
      <w:marLeft w:val="0"/>
      <w:marRight w:val="0"/>
      <w:marTop w:val="0"/>
      <w:marBottom w:val="0"/>
      <w:divBdr>
        <w:top w:val="none" w:sz="0" w:space="0" w:color="auto"/>
        <w:left w:val="none" w:sz="0" w:space="0" w:color="auto"/>
        <w:bottom w:val="none" w:sz="0" w:space="0" w:color="auto"/>
        <w:right w:val="none" w:sz="0" w:space="0" w:color="auto"/>
      </w:divBdr>
      <w:divsChild>
        <w:div w:id="2045254302">
          <w:marLeft w:val="1080"/>
          <w:marRight w:val="0"/>
          <w:marTop w:val="100"/>
          <w:marBottom w:val="0"/>
          <w:divBdr>
            <w:top w:val="none" w:sz="0" w:space="0" w:color="auto"/>
            <w:left w:val="none" w:sz="0" w:space="0" w:color="auto"/>
            <w:bottom w:val="none" w:sz="0" w:space="0" w:color="auto"/>
            <w:right w:val="none" w:sz="0" w:space="0" w:color="auto"/>
          </w:divBdr>
        </w:div>
      </w:divsChild>
    </w:div>
    <w:div w:id="968053056">
      <w:bodyDiv w:val="1"/>
      <w:marLeft w:val="0"/>
      <w:marRight w:val="0"/>
      <w:marTop w:val="0"/>
      <w:marBottom w:val="0"/>
      <w:divBdr>
        <w:top w:val="none" w:sz="0" w:space="0" w:color="auto"/>
        <w:left w:val="none" w:sz="0" w:space="0" w:color="auto"/>
        <w:bottom w:val="none" w:sz="0" w:space="0" w:color="auto"/>
        <w:right w:val="none" w:sz="0" w:space="0" w:color="auto"/>
      </w:divBdr>
      <w:divsChild>
        <w:div w:id="9065997">
          <w:marLeft w:val="360"/>
          <w:marRight w:val="0"/>
          <w:marTop w:val="200"/>
          <w:marBottom w:val="0"/>
          <w:divBdr>
            <w:top w:val="none" w:sz="0" w:space="0" w:color="auto"/>
            <w:left w:val="none" w:sz="0" w:space="0" w:color="auto"/>
            <w:bottom w:val="none" w:sz="0" w:space="0" w:color="auto"/>
            <w:right w:val="none" w:sz="0" w:space="0" w:color="auto"/>
          </w:divBdr>
        </w:div>
        <w:div w:id="1084648867">
          <w:marLeft w:val="360"/>
          <w:marRight w:val="0"/>
          <w:marTop w:val="200"/>
          <w:marBottom w:val="0"/>
          <w:divBdr>
            <w:top w:val="none" w:sz="0" w:space="0" w:color="auto"/>
            <w:left w:val="none" w:sz="0" w:space="0" w:color="auto"/>
            <w:bottom w:val="none" w:sz="0" w:space="0" w:color="auto"/>
            <w:right w:val="none" w:sz="0" w:space="0" w:color="auto"/>
          </w:divBdr>
        </w:div>
        <w:div w:id="1840004142">
          <w:marLeft w:val="360"/>
          <w:marRight w:val="0"/>
          <w:marTop w:val="200"/>
          <w:marBottom w:val="0"/>
          <w:divBdr>
            <w:top w:val="none" w:sz="0" w:space="0" w:color="auto"/>
            <w:left w:val="none" w:sz="0" w:space="0" w:color="auto"/>
            <w:bottom w:val="none" w:sz="0" w:space="0" w:color="auto"/>
            <w:right w:val="none" w:sz="0" w:space="0" w:color="auto"/>
          </w:divBdr>
        </w:div>
        <w:div w:id="1886989767">
          <w:marLeft w:val="360"/>
          <w:marRight w:val="0"/>
          <w:marTop w:val="200"/>
          <w:marBottom w:val="0"/>
          <w:divBdr>
            <w:top w:val="none" w:sz="0" w:space="0" w:color="auto"/>
            <w:left w:val="none" w:sz="0" w:space="0" w:color="auto"/>
            <w:bottom w:val="none" w:sz="0" w:space="0" w:color="auto"/>
            <w:right w:val="none" w:sz="0" w:space="0" w:color="auto"/>
          </w:divBdr>
        </w:div>
      </w:divsChild>
    </w:div>
    <w:div w:id="1197355993">
      <w:bodyDiv w:val="1"/>
      <w:marLeft w:val="0"/>
      <w:marRight w:val="0"/>
      <w:marTop w:val="0"/>
      <w:marBottom w:val="0"/>
      <w:divBdr>
        <w:top w:val="none" w:sz="0" w:space="0" w:color="auto"/>
        <w:left w:val="none" w:sz="0" w:space="0" w:color="auto"/>
        <w:bottom w:val="none" w:sz="0" w:space="0" w:color="auto"/>
        <w:right w:val="none" w:sz="0" w:space="0" w:color="auto"/>
      </w:divBdr>
    </w:div>
    <w:div w:id="1197741257">
      <w:bodyDiv w:val="1"/>
      <w:marLeft w:val="0"/>
      <w:marRight w:val="0"/>
      <w:marTop w:val="0"/>
      <w:marBottom w:val="0"/>
      <w:divBdr>
        <w:top w:val="none" w:sz="0" w:space="0" w:color="auto"/>
        <w:left w:val="none" w:sz="0" w:space="0" w:color="auto"/>
        <w:bottom w:val="none" w:sz="0" w:space="0" w:color="auto"/>
        <w:right w:val="none" w:sz="0" w:space="0" w:color="auto"/>
      </w:divBdr>
      <w:divsChild>
        <w:div w:id="920405116">
          <w:marLeft w:val="446"/>
          <w:marRight w:val="0"/>
          <w:marTop w:val="0"/>
          <w:marBottom w:val="0"/>
          <w:divBdr>
            <w:top w:val="none" w:sz="0" w:space="0" w:color="auto"/>
            <w:left w:val="none" w:sz="0" w:space="0" w:color="auto"/>
            <w:bottom w:val="none" w:sz="0" w:space="0" w:color="auto"/>
            <w:right w:val="none" w:sz="0" w:space="0" w:color="auto"/>
          </w:divBdr>
        </w:div>
        <w:div w:id="2086763087">
          <w:marLeft w:val="446"/>
          <w:marRight w:val="0"/>
          <w:marTop w:val="0"/>
          <w:marBottom w:val="0"/>
          <w:divBdr>
            <w:top w:val="none" w:sz="0" w:space="0" w:color="auto"/>
            <w:left w:val="none" w:sz="0" w:space="0" w:color="auto"/>
            <w:bottom w:val="none" w:sz="0" w:space="0" w:color="auto"/>
            <w:right w:val="none" w:sz="0" w:space="0" w:color="auto"/>
          </w:divBdr>
        </w:div>
      </w:divsChild>
    </w:div>
    <w:div w:id="1200165952">
      <w:bodyDiv w:val="1"/>
      <w:marLeft w:val="0"/>
      <w:marRight w:val="0"/>
      <w:marTop w:val="0"/>
      <w:marBottom w:val="0"/>
      <w:divBdr>
        <w:top w:val="none" w:sz="0" w:space="0" w:color="auto"/>
        <w:left w:val="none" w:sz="0" w:space="0" w:color="auto"/>
        <w:bottom w:val="none" w:sz="0" w:space="0" w:color="auto"/>
        <w:right w:val="none" w:sz="0" w:space="0" w:color="auto"/>
      </w:divBdr>
    </w:div>
    <w:div w:id="1224177616">
      <w:bodyDiv w:val="1"/>
      <w:marLeft w:val="0"/>
      <w:marRight w:val="0"/>
      <w:marTop w:val="0"/>
      <w:marBottom w:val="0"/>
      <w:divBdr>
        <w:top w:val="none" w:sz="0" w:space="0" w:color="auto"/>
        <w:left w:val="none" w:sz="0" w:space="0" w:color="auto"/>
        <w:bottom w:val="none" w:sz="0" w:space="0" w:color="auto"/>
        <w:right w:val="none" w:sz="0" w:space="0" w:color="auto"/>
      </w:divBdr>
      <w:divsChild>
        <w:div w:id="560871733">
          <w:marLeft w:val="0"/>
          <w:marRight w:val="0"/>
          <w:marTop w:val="0"/>
          <w:marBottom w:val="0"/>
          <w:divBdr>
            <w:top w:val="none" w:sz="0" w:space="0" w:color="auto"/>
            <w:left w:val="none" w:sz="0" w:space="0" w:color="auto"/>
            <w:bottom w:val="none" w:sz="0" w:space="0" w:color="auto"/>
            <w:right w:val="none" w:sz="0" w:space="0" w:color="auto"/>
          </w:divBdr>
        </w:div>
      </w:divsChild>
    </w:div>
    <w:div w:id="1253510728">
      <w:bodyDiv w:val="1"/>
      <w:marLeft w:val="0"/>
      <w:marRight w:val="0"/>
      <w:marTop w:val="0"/>
      <w:marBottom w:val="0"/>
      <w:divBdr>
        <w:top w:val="none" w:sz="0" w:space="0" w:color="auto"/>
        <w:left w:val="none" w:sz="0" w:space="0" w:color="auto"/>
        <w:bottom w:val="none" w:sz="0" w:space="0" w:color="auto"/>
        <w:right w:val="none" w:sz="0" w:space="0" w:color="auto"/>
      </w:divBdr>
    </w:div>
    <w:div w:id="1341659548">
      <w:bodyDiv w:val="1"/>
      <w:marLeft w:val="0"/>
      <w:marRight w:val="0"/>
      <w:marTop w:val="0"/>
      <w:marBottom w:val="0"/>
      <w:divBdr>
        <w:top w:val="none" w:sz="0" w:space="0" w:color="auto"/>
        <w:left w:val="none" w:sz="0" w:space="0" w:color="auto"/>
        <w:bottom w:val="none" w:sz="0" w:space="0" w:color="auto"/>
        <w:right w:val="none" w:sz="0" w:space="0" w:color="auto"/>
      </w:divBdr>
    </w:div>
    <w:div w:id="1593202926">
      <w:bodyDiv w:val="1"/>
      <w:marLeft w:val="0"/>
      <w:marRight w:val="0"/>
      <w:marTop w:val="0"/>
      <w:marBottom w:val="0"/>
      <w:divBdr>
        <w:top w:val="none" w:sz="0" w:space="0" w:color="auto"/>
        <w:left w:val="none" w:sz="0" w:space="0" w:color="auto"/>
        <w:bottom w:val="none" w:sz="0" w:space="0" w:color="auto"/>
        <w:right w:val="none" w:sz="0" w:space="0" w:color="auto"/>
      </w:divBdr>
      <w:divsChild>
        <w:div w:id="1005086660">
          <w:marLeft w:val="1080"/>
          <w:marRight w:val="0"/>
          <w:marTop w:val="100"/>
          <w:marBottom w:val="0"/>
          <w:divBdr>
            <w:top w:val="none" w:sz="0" w:space="0" w:color="auto"/>
            <w:left w:val="none" w:sz="0" w:space="0" w:color="auto"/>
            <w:bottom w:val="none" w:sz="0" w:space="0" w:color="auto"/>
            <w:right w:val="none" w:sz="0" w:space="0" w:color="auto"/>
          </w:divBdr>
        </w:div>
        <w:div w:id="1573391977">
          <w:marLeft w:val="1080"/>
          <w:marRight w:val="0"/>
          <w:marTop w:val="100"/>
          <w:marBottom w:val="0"/>
          <w:divBdr>
            <w:top w:val="none" w:sz="0" w:space="0" w:color="auto"/>
            <w:left w:val="none" w:sz="0" w:space="0" w:color="auto"/>
            <w:bottom w:val="none" w:sz="0" w:space="0" w:color="auto"/>
            <w:right w:val="none" w:sz="0" w:space="0" w:color="auto"/>
          </w:divBdr>
        </w:div>
        <w:div w:id="1786078888">
          <w:marLeft w:val="1080"/>
          <w:marRight w:val="0"/>
          <w:marTop w:val="100"/>
          <w:marBottom w:val="0"/>
          <w:divBdr>
            <w:top w:val="none" w:sz="0" w:space="0" w:color="auto"/>
            <w:left w:val="none" w:sz="0" w:space="0" w:color="auto"/>
            <w:bottom w:val="none" w:sz="0" w:space="0" w:color="auto"/>
            <w:right w:val="none" w:sz="0" w:space="0" w:color="auto"/>
          </w:divBdr>
        </w:div>
      </w:divsChild>
    </w:div>
    <w:div w:id="1916091698">
      <w:bodyDiv w:val="1"/>
      <w:marLeft w:val="0"/>
      <w:marRight w:val="0"/>
      <w:marTop w:val="0"/>
      <w:marBottom w:val="0"/>
      <w:divBdr>
        <w:top w:val="none" w:sz="0" w:space="0" w:color="auto"/>
        <w:left w:val="none" w:sz="0" w:space="0" w:color="auto"/>
        <w:bottom w:val="none" w:sz="0" w:space="0" w:color="auto"/>
        <w:right w:val="none" w:sz="0" w:space="0" w:color="auto"/>
      </w:divBdr>
      <w:divsChild>
        <w:div w:id="554393870">
          <w:marLeft w:val="446"/>
          <w:marRight w:val="0"/>
          <w:marTop w:val="0"/>
          <w:marBottom w:val="0"/>
          <w:divBdr>
            <w:top w:val="none" w:sz="0" w:space="0" w:color="auto"/>
            <w:left w:val="none" w:sz="0" w:space="0" w:color="auto"/>
            <w:bottom w:val="none" w:sz="0" w:space="0" w:color="auto"/>
            <w:right w:val="none" w:sz="0" w:space="0" w:color="auto"/>
          </w:divBdr>
        </w:div>
        <w:div w:id="1379545858">
          <w:marLeft w:val="446"/>
          <w:marRight w:val="0"/>
          <w:marTop w:val="0"/>
          <w:marBottom w:val="0"/>
          <w:divBdr>
            <w:top w:val="none" w:sz="0" w:space="0" w:color="auto"/>
            <w:left w:val="none" w:sz="0" w:space="0" w:color="auto"/>
            <w:bottom w:val="none" w:sz="0" w:space="0" w:color="auto"/>
            <w:right w:val="none" w:sz="0" w:space="0" w:color="auto"/>
          </w:divBdr>
        </w:div>
      </w:divsChild>
    </w:div>
    <w:div w:id="1980261292">
      <w:bodyDiv w:val="1"/>
      <w:marLeft w:val="0"/>
      <w:marRight w:val="0"/>
      <w:marTop w:val="0"/>
      <w:marBottom w:val="0"/>
      <w:divBdr>
        <w:top w:val="none" w:sz="0" w:space="0" w:color="auto"/>
        <w:left w:val="none" w:sz="0" w:space="0" w:color="auto"/>
        <w:bottom w:val="none" w:sz="0" w:space="0" w:color="auto"/>
        <w:right w:val="none" w:sz="0" w:space="0" w:color="auto"/>
      </w:divBdr>
      <w:divsChild>
        <w:div w:id="366416190">
          <w:marLeft w:val="1080"/>
          <w:marRight w:val="0"/>
          <w:marTop w:val="100"/>
          <w:marBottom w:val="0"/>
          <w:divBdr>
            <w:top w:val="none" w:sz="0" w:space="0" w:color="auto"/>
            <w:left w:val="none" w:sz="0" w:space="0" w:color="auto"/>
            <w:bottom w:val="none" w:sz="0" w:space="0" w:color="auto"/>
            <w:right w:val="none" w:sz="0" w:space="0" w:color="auto"/>
          </w:divBdr>
        </w:div>
        <w:div w:id="491794922">
          <w:marLeft w:val="1080"/>
          <w:marRight w:val="0"/>
          <w:marTop w:val="100"/>
          <w:marBottom w:val="0"/>
          <w:divBdr>
            <w:top w:val="none" w:sz="0" w:space="0" w:color="auto"/>
            <w:left w:val="none" w:sz="0" w:space="0" w:color="auto"/>
            <w:bottom w:val="none" w:sz="0" w:space="0" w:color="auto"/>
            <w:right w:val="none" w:sz="0" w:space="0" w:color="auto"/>
          </w:divBdr>
        </w:div>
        <w:div w:id="1006831222">
          <w:marLeft w:val="1800"/>
          <w:marRight w:val="0"/>
          <w:marTop w:val="100"/>
          <w:marBottom w:val="0"/>
          <w:divBdr>
            <w:top w:val="none" w:sz="0" w:space="0" w:color="auto"/>
            <w:left w:val="none" w:sz="0" w:space="0" w:color="auto"/>
            <w:bottom w:val="none" w:sz="0" w:space="0" w:color="auto"/>
            <w:right w:val="none" w:sz="0" w:space="0" w:color="auto"/>
          </w:divBdr>
        </w:div>
        <w:div w:id="1031689948">
          <w:marLeft w:val="2520"/>
          <w:marRight w:val="0"/>
          <w:marTop w:val="100"/>
          <w:marBottom w:val="0"/>
          <w:divBdr>
            <w:top w:val="none" w:sz="0" w:space="0" w:color="auto"/>
            <w:left w:val="none" w:sz="0" w:space="0" w:color="auto"/>
            <w:bottom w:val="none" w:sz="0" w:space="0" w:color="auto"/>
            <w:right w:val="none" w:sz="0" w:space="0" w:color="auto"/>
          </w:divBdr>
        </w:div>
        <w:div w:id="1163928998">
          <w:marLeft w:val="2520"/>
          <w:marRight w:val="0"/>
          <w:marTop w:val="100"/>
          <w:marBottom w:val="0"/>
          <w:divBdr>
            <w:top w:val="none" w:sz="0" w:space="0" w:color="auto"/>
            <w:left w:val="none" w:sz="0" w:space="0" w:color="auto"/>
            <w:bottom w:val="none" w:sz="0" w:space="0" w:color="auto"/>
            <w:right w:val="none" w:sz="0" w:space="0" w:color="auto"/>
          </w:divBdr>
        </w:div>
        <w:div w:id="1439829666">
          <w:marLeft w:val="1800"/>
          <w:marRight w:val="0"/>
          <w:marTop w:val="100"/>
          <w:marBottom w:val="0"/>
          <w:divBdr>
            <w:top w:val="none" w:sz="0" w:space="0" w:color="auto"/>
            <w:left w:val="none" w:sz="0" w:space="0" w:color="auto"/>
            <w:bottom w:val="none" w:sz="0" w:space="0" w:color="auto"/>
            <w:right w:val="none" w:sz="0" w:space="0" w:color="auto"/>
          </w:divBdr>
        </w:div>
        <w:div w:id="1544053366">
          <w:marLeft w:val="1080"/>
          <w:marRight w:val="0"/>
          <w:marTop w:val="100"/>
          <w:marBottom w:val="0"/>
          <w:divBdr>
            <w:top w:val="none" w:sz="0" w:space="0" w:color="auto"/>
            <w:left w:val="none" w:sz="0" w:space="0" w:color="auto"/>
            <w:bottom w:val="none" w:sz="0" w:space="0" w:color="auto"/>
            <w:right w:val="none" w:sz="0" w:space="0" w:color="auto"/>
          </w:divBdr>
        </w:div>
        <w:div w:id="1926527160">
          <w:marLeft w:val="1080"/>
          <w:marRight w:val="0"/>
          <w:marTop w:val="100"/>
          <w:marBottom w:val="0"/>
          <w:divBdr>
            <w:top w:val="none" w:sz="0" w:space="0" w:color="auto"/>
            <w:left w:val="none" w:sz="0" w:space="0" w:color="auto"/>
            <w:bottom w:val="none" w:sz="0" w:space="0" w:color="auto"/>
            <w:right w:val="none" w:sz="0" w:space="0" w:color="auto"/>
          </w:divBdr>
        </w:div>
        <w:div w:id="2111654366">
          <w:marLeft w:val="1080"/>
          <w:marRight w:val="0"/>
          <w:marTop w:val="100"/>
          <w:marBottom w:val="0"/>
          <w:divBdr>
            <w:top w:val="none" w:sz="0" w:space="0" w:color="auto"/>
            <w:left w:val="none" w:sz="0" w:space="0" w:color="auto"/>
            <w:bottom w:val="none" w:sz="0" w:space="0" w:color="auto"/>
            <w:right w:val="none" w:sz="0" w:space="0" w:color="auto"/>
          </w:divBdr>
        </w:div>
      </w:divsChild>
    </w:div>
    <w:div w:id="1983345312">
      <w:bodyDiv w:val="1"/>
      <w:marLeft w:val="0"/>
      <w:marRight w:val="0"/>
      <w:marTop w:val="0"/>
      <w:marBottom w:val="0"/>
      <w:divBdr>
        <w:top w:val="none" w:sz="0" w:space="0" w:color="auto"/>
        <w:left w:val="none" w:sz="0" w:space="0" w:color="auto"/>
        <w:bottom w:val="none" w:sz="0" w:space="0" w:color="auto"/>
        <w:right w:val="none" w:sz="0" w:space="0" w:color="auto"/>
      </w:divBdr>
      <w:divsChild>
        <w:div w:id="583105959">
          <w:marLeft w:val="1800"/>
          <w:marRight w:val="0"/>
          <w:marTop w:val="100"/>
          <w:marBottom w:val="0"/>
          <w:divBdr>
            <w:top w:val="none" w:sz="0" w:space="0" w:color="auto"/>
            <w:left w:val="none" w:sz="0" w:space="0" w:color="auto"/>
            <w:bottom w:val="none" w:sz="0" w:space="0" w:color="auto"/>
            <w:right w:val="none" w:sz="0" w:space="0" w:color="auto"/>
          </w:divBdr>
        </w:div>
        <w:div w:id="759646226">
          <w:marLeft w:val="1080"/>
          <w:marRight w:val="0"/>
          <w:marTop w:val="100"/>
          <w:marBottom w:val="0"/>
          <w:divBdr>
            <w:top w:val="none" w:sz="0" w:space="0" w:color="auto"/>
            <w:left w:val="none" w:sz="0" w:space="0" w:color="auto"/>
            <w:bottom w:val="none" w:sz="0" w:space="0" w:color="auto"/>
            <w:right w:val="none" w:sz="0" w:space="0" w:color="auto"/>
          </w:divBdr>
        </w:div>
        <w:div w:id="816071568">
          <w:marLeft w:val="1080"/>
          <w:marRight w:val="0"/>
          <w:marTop w:val="100"/>
          <w:marBottom w:val="0"/>
          <w:divBdr>
            <w:top w:val="none" w:sz="0" w:space="0" w:color="auto"/>
            <w:left w:val="none" w:sz="0" w:space="0" w:color="auto"/>
            <w:bottom w:val="none" w:sz="0" w:space="0" w:color="auto"/>
            <w:right w:val="none" w:sz="0" w:space="0" w:color="auto"/>
          </w:divBdr>
        </w:div>
        <w:div w:id="850484745">
          <w:marLeft w:val="2520"/>
          <w:marRight w:val="0"/>
          <w:marTop w:val="100"/>
          <w:marBottom w:val="0"/>
          <w:divBdr>
            <w:top w:val="none" w:sz="0" w:space="0" w:color="auto"/>
            <w:left w:val="none" w:sz="0" w:space="0" w:color="auto"/>
            <w:bottom w:val="none" w:sz="0" w:space="0" w:color="auto"/>
            <w:right w:val="none" w:sz="0" w:space="0" w:color="auto"/>
          </w:divBdr>
        </w:div>
        <w:div w:id="976299810">
          <w:marLeft w:val="1080"/>
          <w:marRight w:val="0"/>
          <w:marTop w:val="100"/>
          <w:marBottom w:val="0"/>
          <w:divBdr>
            <w:top w:val="none" w:sz="0" w:space="0" w:color="auto"/>
            <w:left w:val="none" w:sz="0" w:space="0" w:color="auto"/>
            <w:bottom w:val="none" w:sz="0" w:space="0" w:color="auto"/>
            <w:right w:val="none" w:sz="0" w:space="0" w:color="auto"/>
          </w:divBdr>
        </w:div>
        <w:div w:id="1071926027">
          <w:marLeft w:val="2520"/>
          <w:marRight w:val="0"/>
          <w:marTop w:val="100"/>
          <w:marBottom w:val="0"/>
          <w:divBdr>
            <w:top w:val="none" w:sz="0" w:space="0" w:color="auto"/>
            <w:left w:val="none" w:sz="0" w:space="0" w:color="auto"/>
            <w:bottom w:val="none" w:sz="0" w:space="0" w:color="auto"/>
            <w:right w:val="none" w:sz="0" w:space="0" w:color="auto"/>
          </w:divBdr>
        </w:div>
        <w:div w:id="1239292414">
          <w:marLeft w:val="1800"/>
          <w:marRight w:val="0"/>
          <w:marTop w:val="100"/>
          <w:marBottom w:val="0"/>
          <w:divBdr>
            <w:top w:val="none" w:sz="0" w:space="0" w:color="auto"/>
            <w:left w:val="none" w:sz="0" w:space="0" w:color="auto"/>
            <w:bottom w:val="none" w:sz="0" w:space="0" w:color="auto"/>
            <w:right w:val="none" w:sz="0" w:space="0" w:color="auto"/>
          </w:divBdr>
        </w:div>
        <w:div w:id="1918052143">
          <w:marLeft w:val="1080"/>
          <w:marRight w:val="0"/>
          <w:marTop w:val="100"/>
          <w:marBottom w:val="0"/>
          <w:divBdr>
            <w:top w:val="none" w:sz="0" w:space="0" w:color="auto"/>
            <w:left w:val="none" w:sz="0" w:space="0" w:color="auto"/>
            <w:bottom w:val="none" w:sz="0" w:space="0" w:color="auto"/>
            <w:right w:val="none" w:sz="0" w:space="0" w:color="auto"/>
          </w:divBdr>
        </w:div>
        <w:div w:id="2084521897">
          <w:marLeft w:val="1080"/>
          <w:marRight w:val="0"/>
          <w:marTop w:val="100"/>
          <w:marBottom w:val="0"/>
          <w:divBdr>
            <w:top w:val="none" w:sz="0" w:space="0" w:color="auto"/>
            <w:left w:val="none" w:sz="0" w:space="0" w:color="auto"/>
            <w:bottom w:val="none" w:sz="0" w:space="0" w:color="auto"/>
            <w:right w:val="none" w:sz="0" w:space="0" w:color="auto"/>
          </w:divBdr>
        </w:div>
      </w:divsChild>
    </w:div>
    <w:div w:id="202971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425FB-5400-47BA-AB65-8B9F4A030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8430</Words>
  <Characters>44680</Characters>
  <Application>Microsoft Office Word</Application>
  <DocSecurity>0</DocSecurity>
  <Lines>372</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53004</CharactersWithSpaces>
  <SharedDoc>false</SharedDoc>
  <HLinks>
    <vt:vector size="486" baseType="variant">
      <vt:variant>
        <vt:i4>1769535</vt:i4>
      </vt:variant>
      <vt:variant>
        <vt:i4>356</vt:i4>
      </vt:variant>
      <vt:variant>
        <vt:i4>0</vt:i4>
      </vt:variant>
      <vt:variant>
        <vt:i4>5</vt:i4>
      </vt:variant>
      <vt:variant>
        <vt:lpwstr/>
      </vt:variant>
      <vt:variant>
        <vt:lpwstr>_Toc71405895</vt:lpwstr>
      </vt:variant>
      <vt:variant>
        <vt:i4>1703999</vt:i4>
      </vt:variant>
      <vt:variant>
        <vt:i4>353</vt:i4>
      </vt:variant>
      <vt:variant>
        <vt:i4>0</vt:i4>
      </vt:variant>
      <vt:variant>
        <vt:i4>5</vt:i4>
      </vt:variant>
      <vt:variant>
        <vt:lpwstr/>
      </vt:variant>
      <vt:variant>
        <vt:lpwstr>_Toc71405894</vt:lpwstr>
      </vt:variant>
      <vt:variant>
        <vt:i4>1900607</vt:i4>
      </vt:variant>
      <vt:variant>
        <vt:i4>350</vt:i4>
      </vt:variant>
      <vt:variant>
        <vt:i4>0</vt:i4>
      </vt:variant>
      <vt:variant>
        <vt:i4>5</vt:i4>
      </vt:variant>
      <vt:variant>
        <vt:lpwstr/>
      </vt:variant>
      <vt:variant>
        <vt:lpwstr>_Toc71405893</vt:lpwstr>
      </vt:variant>
      <vt:variant>
        <vt:i4>1835071</vt:i4>
      </vt:variant>
      <vt:variant>
        <vt:i4>347</vt:i4>
      </vt:variant>
      <vt:variant>
        <vt:i4>0</vt:i4>
      </vt:variant>
      <vt:variant>
        <vt:i4>5</vt:i4>
      </vt:variant>
      <vt:variant>
        <vt:lpwstr/>
      </vt:variant>
      <vt:variant>
        <vt:lpwstr>_Toc71405892</vt:lpwstr>
      </vt:variant>
      <vt:variant>
        <vt:i4>2031679</vt:i4>
      </vt:variant>
      <vt:variant>
        <vt:i4>344</vt:i4>
      </vt:variant>
      <vt:variant>
        <vt:i4>0</vt:i4>
      </vt:variant>
      <vt:variant>
        <vt:i4>5</vt:i4>
      </vt:variant>
      <vt:variant>
        <vt:lpwstr/>
      </vt:variant>
      <vt:variant>
        <vt:lpwstr>_Toc71405891</vt:lpwstr>
      </vt:variant>
      <vt:variant>
        <vt:i4>1966143</vt:i4>
      </vt:variant>
      <vt:variant>
        <vt:i4>341</vt:i4>
      </vt:variant>
      <vt:variant>
        <vt:i4>0</vt:i4>
      </vt:variant>
      <vt:variant>
        <vt:i4>5</vt:i4>
      </vt:variant>
      <vt:variant>
        <vt:lpwstr/>
      </vt:variant>
      <vt:variant>
        <vt:lpwstr>_Toc71405890</vt:lpwstr>
      </vt:variant>
      <vt:variant>
        <vt:i4>1507390</vt:i4>
      </vt:variant>
      <vt:variant>
        <vt:i4>338</vt:i4>
      </vt:variant>
      <vt:variant>
        <vt:i4>0</vt:i4>
      </vt:variant>
      <vt:variant>
        <vt:i4>5</vt:i4>
      </vt:variant>
      <vt:variant>
        <vt:lpwstr/>
      </vt:variant>
      <vt:variant>
        <vt:lpwstr>_Toc71405889</vt:lpwstr>
      </vt:variant>
      <vt:variant>
        <vt:i4>1441854</vt:i4>
      </vt:variant>
      <vt:variant>
        <vt:i4>335</vt:i4>
      </vt:variant>
      <vt:variant>
        <vt:i4>0</vt:i4>
      </vt:variant>
      <vt:variant>
        <vt:i4>5</vt:i4>
      </vt:variant>
      <vt:variant>
        <vt:lpwstr/>
      </vt:variant>
      <vt:variant>
        <vt:lpwstr>_Toc71405888</vt:lpwstr>
      </vt:variant>
      <vt:variant>
        <vt:i4>1638462</vt:i4>
      </vt:variant>
      <vt:variant>
        <vt:i4>332</vt:i4>
      </vt:variant>
      <vt:variant>
        <vt:i4>0</vt:i4>
      </vt:variant>
      <vt:variant>
        <vt:i4>5</vt:i4>
      </vt:variant>
      <vt:variant>
        <vt:lpwstr/>
      </vt:variant>
      <vt:variant>
        <vt:lpwstr>_Toc71405887</vt:lpwstr>
      </vt:variant>
      <vt:variant>
        <vt:i4>1572926</vt:i4>
      </vt:variant>
      <vt:variant>
        <vt:i4>329</vt:i4>
      </vt:variant>
      <vt:variant>
        <vt:i4>0</vt:i4>
      </vt:variant>
      <vt:variant>
        <vt:i4>5</vt:i4>
      </vt:variant>
      <vt:variant>
        <vt:lpwstr/>
      </vt:variant>
      <vt:variant>
        <vt:lpwstr>_Toc71405886</vt:lpwstr>
      </vt:variant>
      <vt:variant>
        <vt:i4>1769534</vt:i4>
      </vt:variant>
      <vt:variant>
        <vt:i4>326</vt:i4>
      </vt:variant>
      <vt:variant>
        <vt:i4>0</vt:i4>
      </vt:variant>
      <vt:variant>
        <vt:i4>5</vt:i4>
      </vt:variant>
      <vt:variant>
        <vt:lpwstr/>
      </vt:variant>
      <vt:variant>
        <vt:lpwstr>_Toc71405885</vt:lpwstr>
      </vt:variant>
      <vt:variant>
        <vt:i4>1703998</vt:i4>
      </vt:variant>
      <vt:variant>
        <vt:i4>323</vt:i4>
      </vt:variant>
      <vt:variant>
        <vt:i4>0</vt:i4>
      </vt:variant>
      <vt:variant>
        <vt:i4>5</vt:i4>
      </vt:variant>
      <vt:variant>
        <vt:lpwstr/>
      </vt:variant>
      <vt:variant>
        <vt:lpwstr>_Toc71405884</vt:lpwstr>
      </vt:variant>
      <vt:variant>
        <vt:i4>1900606</vt:i4>
      </vt:variant>
      <vt:variant>
        <vt:i4>320</vt:i4>
      </vt:variant>
      <vt:variant>
        <vt:i4>0</vt:i4>
      </vt:variant>
      <vt:variant>
        <vt:i4>5</vt:i4>
      </vt:variant>
      <vt:variant>
        <vt:lpwstr/>
      </vt:variant>
      <vt:variant>
        <vt:lpwstr>_Toc71405883</vt:lpwstr>
      </vt:variant>
      <vt:variant>
        <vt:i4>1835070</vt:i4>
      </vt:variant>
      <vt:variant>
        <vt:i4>317</vt:i4>
      </vt:variant>
      <vt:variant>
        <vt:i4>0</vt:i4>
      </vt:variant>
      <vt:variant>
        <vt:i4>5</vt:i4>
      </vt:variant>
      <vt:variant>
        <vt:lpwstr/>
      </vt:variant>
      <vt:variant>
        <vt:lpwstr>_Toc71405882</vt:lpwstr>
      </vt:variant>
      <vt:variant>
        <vt:i4>2031678</vt:i4>
      </vt:variant>
      <vt:variant>
        <vt:i4>314</vt:i4>
      </vt:variant>
      <vt:variant>
        <vt:i4>0</vt:i4>
      </vt:variant>
      <vt:variant>
        <vt:i4>5</vt:i4>
      </vt:variant>
      <vt:variant>
        <vt:lpwstr/>
      </vt:variant>
      <vt:variant>
        <vt:lpwstr>_Toc71405881</vt:lpwstr>
      </vt:variant>
      <vt:variant>
        <vt:i4>1966142</vt:i4>
      </vt:variant>
      <vt:variant>
        <vt:i4>311</vt:i4>
      </vt:variant>
      <vt:variant>
        <vt:i4>0</vt:i4>
      </vt:variant>
      <vt:variant>
        <vt:i4>5</vt:i4>
      </vt:variant>
      <vt:variant>
        <vt:lpwstr/>
      </vt:variant>
      <vt:variant>
        <vt:lpwstr>_Toc71405880</vt:lpwstr>
      </vt:variant>
      <vt:variant>
        <vt:i4>1507377</vt:i4>
      </vt:variant>
      <vt:variant>
        <vt:i4>308</vt:i4>
      </vt:variant>
      <vt:variant>
        <vt:i4>0</vt:i4>
      </vt:variant>
      <vt:variant>
        <vt:i4>5</vt:i4>
      </vt:variant>
      <vt:variant>
        <vt:lpwstr/>
      </vt:variant>
      <vt:variant>
        <vt:lpwstr>_Toc71405879</vt:lpwstr>
      </vt:variant>
      <vt:variant>
        <vt:i4>1441841</vt:i4>
      </vt:variant>
      <vt:variant>
        <vt:i4>305</vt:i4>
      </vt:variant>
      <vt:variant>
        <vt:i4>0</vt:i4>
      </vt:variant>
      <vt:variant>
        <vt:i4>5</vt:i4>
      </vt:variant>
      <vt:variant>
        <vt:lpwstr/>
      </vt:variant>
      <vt:variant>
        <vt:lpwstr>_Toc71405878</vt:lpwstr>
      </vt:variant>
      <vt:variant>
        <vt:i4>1638449</vt:i4>
      </vt:variant>
      <vt:variant>
        <vt:i4>302</vt:i4>
      </vt:variant>
      <vt:variant>
        <vt:i4>0</vt:i4>
      </vt:variant>
      <vt:variant>
        <vt:i4>5</vt:i4>
      </vt:variant>
      <vt:variant>
        <vt:lpwstr/>
      </vt:variant>
      <vt:variant>
        <vt:lpwstr>_Toc71405877</vt:lpwstr>
      </vt:variant>
      <vt:variant>
        <vt:i4>1572913</vt:i4>
      </vt:variant>
      <vt:variant>
        <vt:i4>299</vt:i4>
      </vt:variant>
      <vt:variant>
        <vt:i4>0</vt:i4>
      </vt:variant>
      <vt:variant>
        <vt:i4>5</vt:i4>
      </vt:variant>
      <vt:variant>
        <vt:lpwstr/>
      </vt:variant>
      <vt:variant>
        <vt:lpwstr>_Toc71405876</vt:lpwstr>
      </vt:variant>
      <vt:variant>
        <vt:i4>1769521</vt:i4>
      </vt:variant>
      <vt:variant>
        <vt:i4>296</vt:i4>
      </vt:variant>
      <vt:variant>
        <vt:i4>0</vt:i4>
      </vt:variant>
      <vt:variant>
        <vt:i4>5</vt:i4>
      </vt:variant>
      <vt:variant>
        <vt:lpwstr/>
      </vt:variant>
      <vt:variant>
        <vt:lpwstr>_Toc71405875</vt:lpwstr>
      </vt:variant>
      <vt:variant>
        <vt:i4>1703985</vt:i4>
      </vt:variant>
      <vt:variant>
        <vt:i4>293</vt:i4>
      </vt:variant>
      <vt:variant>
        <vt:i4>0</vt:i4>
      </vt:variant>
      <vt:variant>
        <vt:i4>5</vt:i4>
      </vt:variant>
      <vt:variant>
        <vt:lpwstr/>
      </vt:variant>
      <vt:variant>
        <vt:lpwstr>_Toc71405874</vt:lpwstr>
      </vt:variant>
      <vt:variant>
        <vt:i4>1900593</vt:i4>
      </vt:variant>
      <vt:variant>
        <vt:i4>290</vt:i4>
      </vt:variant>
      <vt:variant>
        <vt:i4>0</vt:i4>
      </vt:variant>
      <vt:variant>
        <vt:i4>5</vt:i4>
      </vt:variant>
      <vt:variant>
        <vt:lpwstr/>
      </vt:variant>
      <vt:variant>
        <vt:lpwstr>_Toc71405873</vt:lpwstr>
      </vt:variant>
      <vt:variant>
        <vt:i4>1835057</vt:i4>
      </vt:variant>
      <vt:variant>
        <vt:i4>287</vt:i4>
      </vt:variant>
      <vt:variant>
        <vt:i4>0</vt:i4>
      </vt:variant>
      <vt:variant>
        <vt:i4>5</vt:i4>
      </vt:variant>
      <vt:variant>
        <vt:lpwstr/>
      </vt:variant>
      <vt:variant>
        <vt:lpwstr>_Toc71405872</vt:lpwstr>
      </vt:variant>
      <vt:variant>
        <vt:i4>2031665</vt:i4>
      </vt:variant>
      <vt:variant>
        <vt:i4>284</vt:i4>
      </vt:variant>
      <vt:variant>
        <vt:i4>0</vt:i4>
      </vt:variant>
      <vt:variant>
        <vt:i4>5</vt:i4>
      </vt:variant>
      <vt:variant>
        <vt:lpwstr/>
      </vt:variant>
      <vt:variant>
        <vt:lpwstr>_Toc71405871</vt:lpwstr>
      </vt:variant>
      <vt:variant>
        <vt:i4>1966129</vt:i4>
      </vt:variant>
      <vt:variant>
        <vt:i4>281</vt:i4>
      </vt:variant>
      <vt:variant>
        <vt:i4>0</vt:i4>
      </vt:variant>
      <vt:variant>
        <vt:i4>5</vt:i4>
      </vt:variant>
      <vt:variant>
        <vt:lpwstr/>
      </vt:variant>
      <vt:variant>
        <vt:lpwstr>_Toc71405870</vt:lpwstr>
      </vt:variant>
      <vt:variant>
        <vt:i4>1507376</vt:i4>
      </vt:variant>
      <vt:variant>
        <vt:i4>278</vt:i4>
      </vt:variant>
      <vt:variant>
        <vt:i4>0</vt:i4>
      </vt:variant>
      <vt:variant>
        <vt:i4>5</vt:i4>
      </vt:variant>
      <vt:variant>
        <vt:lpwstr/>
      </vt:variant>
      <vt:variant>
        <vt:lpwstr>_Toc71405869</vt:lpwstr>
      </vt:variant>
      <vt:variant>
        <vt:i4>1441840</vt:i4>
      </vt:variant>
      <vt:variant>
        <vt:i4>275</vt:i4>
      </vt:variant>
      <vt:variant>
        <vt:i4>0</vt:i4>
      </vt:variant>
      <vt:variant>
        <vt:i4>5</vt:i4>
      </vt:variant>
      <vt:variant>
        <vt:lpwstr/>
      </vt:variant>
      <vt:variant>
        <vt:lpwstr>_Toc71405868</vt:lpwstr>
      </vt:variant>
      <vt:variant>
        <vt:i4>1638448</vt:i4>
      </vt:variant>
      <vt:variant>
        <vt:i4>272</vt:i4>
      </vt:variant>
      <vt:variant>
        <vt:i4>0</vt:i4>
      </vt:variant>
      <vt:variant>
        <vt:i4>5</vt:i4>
      </vt:variant>
      <vt:variant>
        <vt:lpwstr/>
      </vt:variant>
      <vt:variant>
        <vt:lpwstr>_Toc71405867</vt:lpwstr>
      </vt:variant>
      <vt:variant>
        <vt:i4>1835057</vt:i4>
      </vt:variant>
      <vt:variant>
        <vt:i4>266</vt:i4>
      </vt:variant>
      <vt:variant>
        <vt:i4>0</vt:i4>
      </vt:variant>
      <vt:variant>
        <vt:i4>5</vt:i4>
      </vt:variant>
      <vt:variant>
        <vt:lpwstr/>
      </vt:variant>
      <vt:variant>
        <vt:lpwstr>_Toc71482301</vt:lpwstr>
      </vt:variant>
      <vt:variant>
        <vt:i4>1900593</vt:i4>
      </vt:variant>
      <vt:variant>
        <vt:i4>263</vt:i4>
      </vt:variant>
      <vt:variant>
        <vt:i4>0</vt:i4>
      </vt:variant>
      <vt:variant>
        <vt:i4>5</vt:i4>
      </vt:variant>
      <vt:variant>
        <vt:lpwstr/>
      </vt:variant>
      <vt:variant>
        <vt:lpwstr>_Toc71482300</vt:lpwstr>
      </vt:variant>
      <vt:variant>
        <vt:i4>1376312</vt:i4>
      </vt:variant>
      <vt:variant>
        <vt:i4>260</vt:i4>
      </vt:variant>
      <vt:variant>
        <vt:i4>0</vt:i4>
      </vt:variant>
      <vt:variant>
        <vt:i4>5</vt:i4>
      </vt:variant>
      <vt:variant>
        <vt:lpwstr/>
      </vt:variant>
      <vt:variant>
        <vt:lpwstr>_Toc71482299</vt:lpwstr>
      </vt:variant>
      <vt:variant>
        <vt:i4>1310776</vt:i4>
      </vt:variant>
      <vt:variant>
        <vt:i4>257</vt:i4>
      </vt:variant>
      <vt:variant>
        <vt:i4>0</vt:i4>
      </vt:variant>
      <vt:variant>
        <vt:i4>5</vt:i4>
      </vt:variant>
      <vt:variant>
        <vt:lpwstr/>
      </vt:variant>
      <vt:variant>
        <vt:lpwstr>_Toc71482298</vt:lpwstr>
      </vt:variant>
      <vt:variant>
        <vt:i4>1769528</vt:i4>
      </vt:variant>
      <vt:variant>
        <vt:i4>254</vt:i4>
      </vt:variant>
      <vt:variant>
        <vt:i4>0</vt:i4>
      </vt:variant>
      <vt:variant>
        <vt:i4>5</vt:i4>
      </vt:variant>
      <vt:variant>
        <vt:lpwstr/>
      </vt:variant>
      <vt:variant>
        <vt:lpwstr>_Toc71482297</vt:lpwstr>
      </vt:variant>
      <vt:variant>
        <vt:i4>1703992</vt:i4>
      </vt:variant>
      <vt:variant>
        <vt:i4>251</vt:i4>
      </vt:variant>
      <vt:variant>
        <vt:i4>0</vt:i4>
      </vt:variant>
      <vt:variant>
        <vt:i4>5</vt:i4>
      </vt:variant>
      <vt:variant>
        <vt:lpwstr/>
      </vt:variant>
      <vt:variant>
        <vt:lpwstr>_Toc71482296</vt:lpwstr>
      </vt:variant>
      <vt:variant>
        <vt:i4>1638456</vt:i4>
      </vt:variant>
      <vt:variant>
        <vt:i4>248</vt:i4>
      </vt:variant>
      <vt:variant>
        <vt:i4>0</vt:i4>
      </vt:variant>
      <vt:variant>
        <vt:i4>5</vt:i4>
      </vt:variant>
      <vt:variant>
        <vt:lpwstr/>
      </vt:variant>
      <vt:variant>
        <vt:lpwstr>_Toc71482295</vt:lpwstr>
      </vt:variant>
      <vt:variant>
        <vt:i4>1572920</vt:i4>
      </vt:variant>
      <vt:variant>
        <vt:i4>245</vt:i4>
      </vt:variant>
      <vt:variant>
        <vt:i4>0</vt:i4>
      </vt:variant>
      <vt:variant>
        <vt:i4>5</vt:i4>
      </vt:variant>
      <vt:variant>
        <vt:lpwstr/>
      </vt:variant>
      <vt:variant>
        <vt:lpwstr>_Toc71482294</vt:lpwstr>
      </vt:variant>
      <vt:variant>
        <vt:i4>2031672</vt:i4>
      </vt:variant>
      <vt:variant>
        <vt:i4>242</vt:i4>
      </vt:variant>
      <vt:variant>
        <vt:i4>0</vt:i4>
      </vt:variant>
      <vt:variant>
        <vt:i4>5</vt:i4>
      </vt:variant>
      <vt:variant>
        <vt:lpwstr/>
      </vt:variant>
      <vt:variant>
        <vt:lpwstr>_Toc71482293</vt:lpwstr>
      </vt:variant>
      <vt:variant>
        <vt:i4>1966136</vt:i4>
      </vt:variant>
      <vt:variant>
        <vt:i4>239</vt:i4>
      </vt:variant>
      <vt:variant>
        <vt:i4>0</vt:i4>
      </vt:variant>
      <vt:variant>
        <vt:i4>5</vt:i4>
      </vt:variant>
      <vt:variant>
        <vt:lpwstr/>
      </vt:variant>
      <vt:variant>
        <vt:lpwstr>_Toc71482292</vt:lpwstr>
      </vt:variant>
      <vt:variant>
        <vt:i4>1900600</vt:i4>
      </vt:variant>
      <vt:variant>
        <vt:i4>236</vt:i4>
      </vt:variant>
      <vt:variant>
        <vt:i4>0</vt:i4>
      </vt:variant>
      <vt:variant>
        <vt:i4>5</vt:i4>
      </vt:variant>
      <vt:variant>
        <vt:lpwstr/>
      </vt:variant>
      <vt:variant>
        <vt:lpwstr>_Toc71482291</vt:lpwstr>
      </vt:variant>
      <vt:variant>
        <vt:i4>1835064</vt:i4>
      </vt:variant>
      <vt:variant>
        <vt:i4>233</vt:i4>
      </vt:variant>
      <vt:variant>
        <vt:i4>0</vt:i4>
      </vt:variant>
      <vt:variant>
        <vt:i4>5</vt:i4>
      </vt:variant>
      <vt:variant>
        <vt:lpwstr/>
      </vt:variant>
      <vt:variant>
        <vt:lpwstr>_Toc71482290</vt:lpwstr>
      </vt:variant>
      <vt:variant>
        <vt:i4>1376313</vt:i4>
      </vt:variant>
      <vt:variant>
        <vt:i4>230</vt:i4>
      </vt:variant>
      <vt:variant>
        <vt:i4>0</vt:i4>
      </vt:variant>
      <vt:variant>
        <vt:i4>5</vt:i4>
      </vt:variant>
      <vt:variant>
        <vt:lpwstr/>
      </vt:variant>
      <vt:variant>
        <vt:lpwstr>_Toc71482289</vt:lpwstr>
      </vt:variant>
      <vt:variant>
        <vt:i4>1310777</vt:i4>
      </vt:variant>
      <vt:variant>
        <vt:i4>227</vt:i4>
      </vt:variant>
      <vt:variant>
        <vt:i4>0</vt:i4>
      </vt:variant>
      <vt:variant>
        <vt:i4>5</vt:i4>
      </vt:variant>
      <vt:variant>
        <vt:lpwstr/>
      </vt:variant>
      <vt:variant>
        <vt:lpwstr>_Toc71482288</vt:lpwstr>
      </vt:variant>
      <vt:variant>
        <vt:i4>1769529</vt:i4>
      </vt:variant>
      <vt:variant>
        <vt:i4>224</vt:i4>
      </vt:variant>
      <vt:variant>
        <vt:i4>0</vt:i4>
      </vt:variant>
      <vt:variant>
        <vt:i4>5</vt:i4>
      </vt:variant>
      <vt:variant>
        <vt:lpwstr/>
      </vt:variant>
      <vt:variant>
        <vt:lpwstr>_Toc71482287</vt:lpwstr>
      </vt:variant>
      <vt:variant>
        <vt:i4>1703993</vt:i4>
      </vt:variant>
      <vt:variant>
        <vt:i4>221</vt:i4>
      </vt:variant>
      <vt:variant>
        <vt:i4>0</vt:i4>
      </vt:variant>
      <vt:variant>
        <vt:i4>5</vt:i4>
      </vt:variant>
      <vt:variant>
        <vt:lpwstr/>
      </vt:variant>
      <vt:variant>
        <vt:lpwstr>_Toc71482286</vt:lpwstr>
      </vt:variant>
      <vt:variant>
        <vt:i4>1638457</vt:i4>
      </vt:variant>
      <vt:variant>
        <vt:i4>218</vt:i4>
      </vt:variant>
      <vt:variant>
        <vt:i4>0</vt:i4>
      </vt:variant>
      <vt:variant>
        <vt:i4>5</vt:i4>
      </vt:variant>
      <vt:variant>
        <vt:lpwstr/>
      </vt:variant>
      <vt:variant>
        <vt:lpwstr>_Toc71482285</vt:lpwstr>
      </vt:variant>
      <vt:variant>
        <vt:i4>1572921</vt:i4>
      </vt:variant>
      <vt:variant>
        <vt:i4>215</vt:i4>
      </vt:variant>
      <vt:variant>
        <vt:i4>0</vt:i4>
      </vt:variant>
      <vt:variant>
        <vt:i4>5</vt:i4>
      </vt:variant>
      <vt:variant>
        <vt:lpwstr/>
      </vt:variant>
      <vt:variant>
        <vt:lpwstr>_Toc71482284</vt:lpwstr>
      </vt:variant>
      <vt:variant>
        <vt:i4>2031673</vt:i4>
      </vt:variant>
      <vt:variant>
        <vt:i4>212</vt:i4>
      </vt:variant>
      <vt:variant>
        <vt:i4>0</vt:i4>
      </vt:variant>
      <vt:variant>
        <vt:i4>5</vt:i4>
      </vt:variant>
      <vt:variant>
        <vt:lpwstr/>
      </vt:variant>
      <vt:variant>
        <vt:lpwstr>_Toc71482283</vt:lpwstr>
      </vt:variant>
      <vt:variant>
        <vt:i4>1966137</vt:i4>
      </vt:variant>
      <vt:variant>
        <vt:i4>209</vt:i4>
      </vt:variant>
      <vt:variant>
        <vt:i4>0</vt:i4>
      </vt:variant>
      <vt:variant>
        <vt:i4>5</vt:i4>
      </vt:variant>
      <vt:variant>
        <vt:lpwstr/>
      </vt:variant>
      <vt:variant>
        <vt:lpwstr>_Toc71482282</vt:lpwstr>
      </vt:variant>
      <vt:variant>
        <vt:i4>1900601</vt:i4>
      </vt:variant>
      <vt:variant>
        <vt:i4>206</vt:i4>
      </vt:variant>
      <vt:variant>
        <vt:i4>0</vt:i4>
      </vt:variant>
      <vt:variant>
        <vt:i4>5</vt:i4>
      </vt:variant>
      <vt:variant>
        <vt:lpwstr/>
      </vt:variant>
      <vt:variant>
        <vt:lpwstr>_Toc71482281</vt:lpwstr>
      </vt:variant>
      <vt:variant>
        <vt:i4>1835065</vt:i4>
      </vt:variant>
      <vt:variant>
        <vt:i4>203</vt:i4>
      </vt:variant>
      <vt:variant>
        <vt:i4>0</vt:i4>
      </vt:variant>
      <vt:variant>
        <vt:i4>5</vt:i4>
      </vt:variant>
      <vt:variant>
        <vt:lpwstr/>
      </vt:variant>
      <vt:variant>
        <vt:lpwstr>_Toc71482280</vt:lpwstr>
      </vt:variant>
      <vt:variant>
        <vt:i4>1376310</vt:i4>
      </vt:variant>
      <vt:variant>
        <vt:i4>200</vt:i4>
      </vt:variant>
      <vt:variant>
        <vt:i4>0</vt:i4>
      </vt:variant>
      <vt:variant>
        <vt:i4>5</vt:i4>
      </vt:variant>
      <vt:variant>
        <vt:lpwstr/>
      </vt:variant>
      <vt:variant>
        <vt:lpwstr>_Toc71482279</vt:lpwstr>
      </vt:variant>
      <vt:variant>
        <vt:i4>1310774</vt:i4>
      </vt:variant>
      <vt:variant>
        <vt:i4>197</vt:i4>
      </vt:variant>
      <vt:variant>
        <vt:i4>0</vt:i4>
      </vt:variant>
      <vt:variant>
        <vt:i4>5</vt:i4>
      </vt:variant>
      <vt:variant>
        <vt:lpwstr/>
      </vt:variant>
      <vt:variant>
        <vt:lpwstr>_Toc71482278</vt:lpwstr>
      </vt:variant>
      <vt:variant>
        <vt:i4>1769526</vt:i4>
      </vt:variant>
      <vt:variant>
        <vt:i4>194</vt:i4>
      </vt:variant>
      <vt:variant>
        <vt:i4>0</vt:i4>
      </vt:variant>
      <vt:variant>
        <vt:i4>5</vt:i4>
      </vt:variant>
      <vt:variant>
        <vt:lpwstr/>
      </vt:variant>
      <vt:variant>
        <vt:lpwstr>_Toc71482277</vt:lpwstr>
      </vt:variant>
      <vt:variant>
        <vt:i4>1703990</vt:i4>
      </vt:variant>
      <vt:variant>
        <vt:i4>191</vt:i4>
      </vt:variant>
      <vt:variant>
        <vt:i4>0</vt:i4>
      </vt:variant>
      <vt:variant>
        <vt:i4>5</vt:i4>
      </vt:variant>
      <vt:variant>
        <vt:lpwstr/>
      </vt:variant>
      <vt:variant>
        <vt:lpwstr>_Toc71482276</vt:lpwstr>
      </vt:variant>
      <vt:variant>
        <vt:i4>1638454</vt:i4>
      </vt:variant>
      <vt:variant>
        <vt:i4>188</vt:i4>
      </vt:variant>
      <vt:variant>
        <vt:i4>0</vt:i4>
      </vt:variant>
      <vt:variant>
        <vt:i4>5</vt:i4>
      </vt:variant>
      <vt:variant>
        <vt:lpwstr/>
      </vt:variant>
      <vt:variant>
        <vt:lpwstr>_Toc71482275</vt:lpwstr>
      </vt:variant>
      <vt:variant>
        <vt:i4>1572918</vt:i4>
      </vt:variant>
      <vt:variant>
        <vt:i4>185</vt:i4>
      </vt:variant>
      <vt:variant>
        <vt:i4>0</vt:i4>
      </vt:variant>
      <vt:variant>
        <vt:i4>5</vt:i4>
      </vt:variant>
      <vt:variant>
        <vt:lpwstr/>
      </vt:variant>
      <vt:variant>
        <vt:lpwstr>_Toc71482274</vt:lpwstr>
      </vt:variant>
      <vt:variant>
        <vt:i4>2031670</vt:i4>
      </vt:variant>
      <vt:variant>
        <vt:i4>182</vt:i4>
      </vt:variant>
      <vt:variant>
        <vt:i4>0</vt:i4>
      </vt:variant>
      <vt:variant>
        <vt:i4>5</vt:i4>
      </vt:variant>
      <vt:variant>
        <vt:lpwstr/>
      </vt:variant>
      <vt:variant>
        <vt:lpwstr>_Toc71482273</vt:lpwstr>
      </vt:variant>
      <vt:variant>
        <vt:i4>1966134</vt:i4>
      </vt:variant>
      <vt:variant>
        <vt:i4>179</vt:i4>
      </vt:variant>
      <vt:variant>
        <vt:i4>0</vt:i4>
      </vt:variant>
      <vt:variant>
        <vt:i4>5</vt:i4>
      </vt:variant>
      <vt:variant>
        <vt:lpwstr/>
      </vt:variant>
      <vt:variant>
        <vt:lpwstr>_Toc71482272</vt:lpwstr>
      </vt:variant>
      <vt:variant>
        <vt:i4>1769520</vt:i4>
      </vt:variant>
      <vt:variant>
        <vt:i4>173</vt:i4>
      </vt:variant>
      <vt:variant>
        <vt:i4>0</vt:i4>
      </vt:variant>
      <vt:variant>
        <vt:i4>5</vt:i4>
      </vt:variant>
      <vt:variant>
        <vt:lpwstr/>
      </vt:variant>
      <vt:variant>
        <vt:lpwstr>_Toc71405865</vt:lpwstr>
      </vt:variant>
      <vt:variant>
        <vt:i4>1703984</vt:i4>
      </vt:variant>
      <vt:variant>
        <vt:i4>170</vt:i4>
      </vt:variant>
      <vt:variant>
        <vt:i4>0</vt:i4>
      </vt:variant>
      <vt:variant>
        <vt:i4>5</vt:i4>
      </vt:variant>
      <vt:variant>
        <vt:lpwstr/>
      </vt:variant>
      <vt:variant>
        <vt:lpwstr>_Toc71405864</vt:lpwstr>
      </vt:variant>
      <vt:variant>
        <vt:i4>1900592</vt:i4>
      </vt:variant>
      <vt:variant>
        <vt:i4>167</vt:i4>
      </vt:variant>
      <vt:variant>
        <vt:i4>0</vt:i4>
      </vt:variant>
      <vt:variant>
        <vt:i4>5</vt:i4>
      </vt:variant>
      <vt:variant>
        <vt:lpwstr/>
      </vt:variant>
      <vt:variant>
        <vt:lpwstr>_Toc71405863</vt:lpwstr>
      </vt:variant>
      <vt:variant>
        <vt:i4>1835056</vt:i4>
      </vt:variant>
      <vt:variant>
        <vt:i4>164</vt:i4>
      </vt:variant>
      <vt:variant>
        <vt:i4>0</vt:i4>
      </vt:variant>
      <vt:variant>
        <vt:i4>5</vt:i4>
      </vt:variant>
      <vt:variant>
        <vt:lpwstr/>
      </vt:variant>
      <vt:variant>
        <vt:lpwstr>_Toc71405862</vt:lpwstr>
      </vt:variant>
      <vt:variant>
        <vt:i4>2031664</vt:i4>
      </vt:variant>
      <vt:variant>
        <vt:i4>161</vt:i4>
      </vt:variant>
      <vt:variant>
        <vt:i4>0</vt:i4>
      </vt:variant>
      <vt:variant>
        <vt:i4>5</vt:i4>
      </vt:variant>
      <vt:variant>
        <vt:lpwstr/>
      </vt:variant>
      <vt:variant>
        <vt:lpwstr>_Toc71405861</vt:lpwstr>
      </vt:variant>
      <vt:variant>
        <vt:i4>1966128</vt:i4>
      </vt:variant>
      <vt:variant>
        <vt:i4>158</vt:i4>
      </vt:variant>
      <vt:variant>
        <vt:i4>0</vt:i4>
      </vt:variant>
      <vt:variant>
        <vt:i4>5</vt:i4>
      </vt:variant>
      <vt:variant>
        <vt:lpwstr/>
      </vt:variant>
      <vt:variant>
        <vt:lpwstr>_Toc71405860</vt:lpwstr>
      </vt:variant>
      <vt:variant>
        <vt:i4>1507379</vt:i4>
      </vt:variant>
      <vt:variant>
        <vt:i4>155</vt:i4>
      </vt:variant>
      <vt:variant>
        <vt:i4>0</vt:i4>
      </vt:variant>
      <vt:variant>
        <vt:i4>5</vt:i4>
      </vt:variant>
      <vt:variant>
        <vt:lpwstr/>
      </vt:variant>
      <vt:variant>
        <vt:lpwstr>_Toc71405859</vt:lpwstr>
      </vt:variant>
      <vt:variant>
        <vt:i4>1638451</vt:i4>
      </vt:variant>
      <vt:variant>
        <vt:i4>152</vt:i4>
      </vt:variant>
      <vt:variant>
        <vt:i4>0</vt:i4>
      </vt:variant>
      <vt:variant>
        <vt:i4>5</vt:i4>
      </vt:variant>
      <vt:variant>
        <vt:lpwstr/>
      </vt:variant>
      <vt:variant>
        <vt:lpwstr>_Toc71405857</vt:lpwstr>
      </vt:variant>
      <vt:variant>
        <vt:i4>1572915</vt:i4>
      </vt:variant>
      <vt:variant>
        <vt:i4>149</vt:i4>
      </vt:variant>
      <vt:variant>
        <vt:i4>0</vt:i4>
      </vt:variant>
      <vt:variant>
        <vt:i4>5</vt:i4>
      </vt:variant>
      <vt:variant>
        <vt:lpwstr/>
      </vt:variant>
      <vt:variant>
        <vt:lpwstr>_Toc71405856</vt:lpwstr>
      </vt:variant>
      <vt:variant>
        <vt:i4>1769523</vt:i4>
      </vt:variant>
      <vt:variant>
        <vt:i4>146</vt:i4>
      </vt:variant>
      <vt:variant>
        <vt:i4>0</vt:i4>
      </vt:variant>
      <vt:variant>
        <vt:i4>5</vt:i4>
      </vt:variant>
      <vt:variant>
        <vt:lpwstr/>
      </vt:variant>
      <vt:variant>
        <vt:lpwstr>_Toc71405855</vt:lpwstr>
      </vt:variant>
      <vt:variant>
        <vt:i4>1900598</vt:i4>
      </vt:variant>
      <vt:variant>
        <vt:i4>140</vt:i4>
      </vt:variant>
      <vt:variant>
        <vt:i4>0</vt:i4>
      </vt:variant>
      <vt:variant>
        <vt:i4>5</vt:i4>
      </vt:variant>
      <vt:variant>
        <vt:lpwstr/>
      </vt:variant>
      <vt:variant>
        <vt:lpwstr>_Toc71482271</vt:lpwstr>
      </vt:variant>
      <vt:variant>
        <vt:i4>1835062</vt:i4>
      </vt:variant>
      <vt:variant>
        <vt:i4>137</vt:i4>
      </vt:variant>
      <vt:variant>
        <vt:i4>0</vt:i4>
      </vt:variant>
      <vt:variant>
        <vt:i4>5</vt:i4>
      </vt:variant>
      <vt:variant>
        <vt:lpwstr/>
      </vt:variant>
      <vt:variant>
        <vt:lpwstr>_Toc71482270</vt:lpwstr>
      </vt:variant>
      <vt:variant>
        <vt:i4>1376311</vt:i4>
      </vt:variant>
      <vt:variant>
        <vt:i4>134</vt:i4>
      </vt:variant>
      <vt:variant>
        <vt:i4>0</vt:i4>
      </vt:variant>
      <vt:variant>
        <vt:i4>5</vt:i4>
      </vt:variant>
      <vt:variant>
        <vt:lpwstr/>
      </vt:variant>
      <vt:variant>
        <vt:lpwstr>_Toc71482269</vt:lpwstr>
      </vt:variant>
      <vt:variant>
        <vt:i4>1310775</vt:i4>
      </vt:variant>
      <vt:variant>
        <vt:i4>131</vt:i4>
      </vt:variant>
      <vt:variant>
        <vt:i4>0</vt:i4>
      </vt:variant>
      <vt:variant>
        <vt:i4>5</vt:i4>
      </vt:variant>
      <vt:variant>
        <vt:lpwstr/>
      </vt:variant>
      <vt:variant>
        <vt:lpwstr>_Toc71482268</vt:lpwstr>
      </vt:variant>
      <vt:variant>
        <vt:i4>1769527</vt:i4>
      </vt:variant>
      <vt:variant>
        <vt:i4>128</vt:i4>
      </vt:variant>
      <vt:variant>
        <vt:i4>0</vt:i4>
      </vt:variant>
      <vt:variant>
        <vt:i4>5</vt:i4>
      </vt:variant>
      <vt:variant>
        <vt:lpwstr/>
      </vt:variant>
      <vt:variant>
        <vt:lpwstr>_Toc71482267</vt:lpwstr>
      </vt:variant>
      <vt:variant>
        <vt:i4>1703991</vt:i4>
      </vt:variant>
      <vt:variant>
        <vt:i4>125</vt:i4>
      </vt:variant>
      <vt:variant>
        <vt:i4>0</vt:i4>
      </vt:variant>
      <vt:variant>
        <vt:i4>5</vt:i4>
      </vt:variant>
      <vt:variant>
        <vt:lpwstr/>
      </vt:variant>
      <vt:variant>
        <vt:lpwstr>_Toc71482266</vt:lpwstr>
      </vt:variant>
      <vt:variant>
        <vt:i4>1638455</vt:i4>
      </vt:variant>
      <vt:variant>
        <vt:i4>122</vt:i4>
      </vt:variant>
      <vt:variant>
        <vt:i4>0</vt:i4>
      </vt:variant>
      <vt:variant>
        <vt:i4>5</vt:i4>
      </vt:variant>
      <vt:variant>
        <vt:lpwstr/>
      </vt:variant>
      <vt:variant>
        <vt:lpwstr>_Toc71482265</vt:lpwstr>
      </vt:variant>
      <vt:variant>
        <vt:i4>2031671</vt:i4>
      </vt:variant>
      <vt:variant>
        <vt:i4>119</vt:i4>
      </vt:variant>
      <vt:variant>
        <vt:i4>0</vt:i4>
      </vt:variant>
      <vt:variant>
        <vt:i4>5</vt:i4>
      </vt:variant>
      <vt:variant>
        <vt:lpwstr/>
      </vt:variant>
      <vt:variant>
        <vt:lpwstr>_Toc71482263</vt:lpwstr>
      </vt:variant>
      <vt:variant>
        <vt:i4>1966135</vt:i4>
      </vt:variant>
      <vt:variant>
        <vt:i4>116</vt:i4>
      </vt:variant>
      <vt:variant>
        <vt:i4>0</vt:i4>
      </vt:variant>
      <vt:variant>
        <vt:i4>5</vt:i4>
      </vt:variant>
      <vt:variant>
        <vt:lpwstr/>
      </vt:variant>
      <vt:variant>
        <vt:lpwstr>_Toc71482262</vt:lpwstr>
      </vt:variant>
      <vt:variant>
        <vt:i4>1900599</vt:i4>
      </vt:variant>
      <vt:variant>
        <vt:i4>113</vt:i4>
      </vt:variant>
      <vt:variant>
        <vt:i4>0</vt:i4>
      </vt:variant>
      <vt:variant>
        <vt:i4>5</vt:i4>
      </vt:variant>
      <vt:variant>
        <vt:lpwstr/>
      </vt:variant>
      <vt:variant>
        <vt:lpwstr>_Toc71482261</vt:lpwstr>
      </vt:variant>
      <vt:variant>
        <vt:i4>1835063</vt:i4>
      </vt:variant>
      <vt:variant>
        <vt:i4>110</vt:i4>
      </vt:variant>
      <vt:variant>
        <vt:i4>0</vt:i4>
      </vt:variant>
      <vt:variant>
        <vt:i4>5</vt:i4>
      </vt:variant>
      <vt:variant>
        <vt:lpwstr/>
      </vt:variant>
      <vt:variant>
        <vt:lpwstr>_Toc71482260</vt:lpwstr>
      </vt:variant>
      <vt:variant>
        <vt:i4>5111858</vt:i4>
      </vt:variant>
      <vt:variant>
        <vt:i4>0</vt:i4>
      </vt:variant>
      <vt:variant>
        <vt:i4>0</vt:i4>
      </vt:variant>
      <vt:variant>
        <vt:i4>5</vt:i4>
      </vt:variant>
      <vt:variant>
        <vt:lpwstr>mailto:boris.dortschy@ericsson.com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2021-05-11T19:39:00Z</dcterms:created>
  <dcterms:modified xsi:type="dcterms:W3CDTF">2021-05-11T20:09:00Z</dcterms:modified>
  <cp:category/>
</cp:coreProperties>
</file>